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B93A" w14:textId="77777777" w:rsidR="00034D13" w:rsidRDefault="00034D13" w:rsidP="00297820">
      <w:pPr>
        <w:rPr>
          <w:sz w:val="36"/>
        </w:rPr>
      </w:pPr>
    </w:p>
    <w:p w14:paraId="7EB84386" w14:textId="77777777" w:rsidR="00034D13" w:rsidRDefault="00034D13" w:rsidP="00297820">
      <w:pPr>
        <w:rPr>
          <w:sz w:val="36"/>
        </w:rPr>
      </w:pPr>
    </w:p>
    <w:p w14:paraId="788AC3AF" w14:textId="77777777" w:rsidR="00CE6811" w:rsidRDefault="00CE6811" w:rsidP="00CE6811">
      <w:pPr>
        <w:jc w:val="both"/>
        <w:rPr>
          <w:rFonts w:cs="Calibri"/>
          <w:b/>
          <w:sz w:val="36"/>
          <w:szCs w:val="36"/>
        </w:rPr>
      </w:pPr>
      <w:r>
        <w:rPr>
          <w:rFonts w:cs="Calibri"/>
          <w:b/>
          <w:sz w:val="36"/>
          <w:szCs w:val="36"/>
        </w:rPr>
        <w:t>The Rutland Learning Trust</w:t>
      </w:r>
    </w:p>
    <w:p w14:paraId="7E820AB4" w14:textId="77777777" w:rsidR="00CE6811" w:rsidRDefault="00CE6811" w:rsidP="00CE6811">
      <w:pPr>
        <w:jc w:val="both"/>
        <w:rPr>
          <w:rFonts w:ascii="Cambria" w:hAnsi="Cambria"/>
          <w:b/>
        </w:rPr>
      </w:pPr>
      <w:r>
        <w:rPr>
          <w:sz w:val="26"/>
        </w:rPr>
        <w:t>Providing</w:t>
      </w:r>
      <w:r>
        <w:rPr>
          <w:rFonts w:ascii="Cambria" w:hAnsi="Cambria"/>
          <w:b/>
        </w:rPr>
        <w:t xml:space="preserve"> </w:t>
      </w:r>
      <w:r>
        <w:rPr>
          <w:rFonts w:cs="Calibri"/>
          <w:sz w:val="26"/>
          <w:szCs w:val="26"/>
        </w:rPr>
        <w:t>outstanding education for all pupils – today and tomorrow!</w:t>
      </w:r>
    </w:p>
    <w:p w14:paraId="5DE19E97" w14:textId="77777777" w:rsidR="00CE6811" w:rsidRDefault="00CE6811" w:rsidP="00CE6811">
      <w:pPr>
        <w:jc w:val="both"/>
        <w:rPr>
          <w:rFonts w:ascii="Calibri" w:hAnsi="Calibri" w:cs="Calibri"/>
          <w:i/>
          <w:sz w:val="14"/>
          <w:szCs w:val="14"/>
        </w:rPr>
      </w:pPr>
      <w:r>
        <w:rPr>
          <w:rFonts w:cs="Calibri"/>
          <w:i/>
          <w:sz w:val="14"/>
          <w:szCs w:val="14"/>
        </w:rPr>
        <w:t>World-class education and care that allows every child to achieve their potential, regardless of location, prior attainment or background.</w:t>
      </w:r>
    </w:p>
    <w:p w14:paraId="338DE2CB" w14:textId="77777777" w:rsidR="00CE6811" w:rsidRDefault="00CE6811" w:rsidP="00CE6811">
      <w:pPr>
        <w:jc w:val="both"/>
        <w:rPr>
          <w:rFonts w:ascii="Cambria" w:hAnsi="Cambria"/>
          <w:b/>
        </w:rPr>
      </w:pPr>
    </w:p>
    <w:p w14:paraId="65425AB6" w14:textId="77777777" w:rsidR="00CE6811" w:rsidRDefault="00CE6811" w:rsidP="00CE6811">
      <w:pPr>
        <w:jc w:val="both"/>
        <w:rPr>
          <w:rFonts w:ascii="Calibri" w:hAnsi="Calibri" w:cs="Calibri"/>
          <w:b/>
          <w:sz w:val="28"/>
          <w:szCs w:val="28"/>
        </w:rPr>
      </w:pPr>
    </w:p>
    <w:p w14:paraId="3D9EF792" w14:textId="77777777" w:rsidR="00CE6811" w:rsidRDefault="00CE6811" w:rsidP="00CE6811">
      <w:pPr>
        <w:jc w:val="both"/>
        <w:rPr>
          <w:rFonts w:cs="Calibri"/>
          <w:b/>
          <w:sz w:val="28"/>
          <w:szCs w:val="28"/>
        </w:rPr>
      </w:pPr>
    </w:p>
    <w:p w14:paraId="168C74C2" w14:textId="77777777" w:rsidR="00CE6811" w:rsidRDefault="00CE6811" w:rsidP="00CE6811">
      <w:pPr>
        <w:jc w:val="both"/>
        <w:rPr>
          <w:rFonts w:cs="Calibri"/>
          <w:b/>
          <w:sz w:val="28"/>
          <w:szCs w:val="28"/>
        </w:rPr>
      </w:pPr>
    </w:p>
    <w:p w14:paraId="2567EC5A" w14:textId="77777777" w:rsidR="00CE6811" w:rsidRDefault="00CE6811" w:rsidP="00CE6811">
      <w:pPr>
        <w:jc w:val="both"/>
        <w:rPr>
          <w:rFonts w:cs="Calibri"/>
          <w:b/>
          <w:sz w:val="28"/>
          <w:szCs w:val="28"/>
        </w:rPr>
      </w:pPr>
      <w:r>
        <w:rPr>
          <w:rFonts w:cs="Calibri"/>
          <w:b/>
          <w:sz w:val="28"/>
          <w:szCs w:val="28"/>
        </w:rPr>
        <w:t>By………………</w:t>
      </w:r>
    </w:p>
    <w:p w14:paraId="1EE3032D" w14:textId="77777777" w:rsidR="00CE6811" w:rsidRDefault="00CE6811" w:rsidP="00CE6811">
      <w:pPr>
        <w:jc w:val="both"/>
        <w:rPr>
          <w:rFonts w:cs="Calibri"/>
          <w:b/>
          <w:sz w:val="28"/>
          <w:szCs w:val="28"/>
        </w:rPr>
      </w:pPr>
    </w:p>
    <w:p w14:paraId="05FD9DF5" w14:textId="77777777" w:rsidR="00CE6811" w:rsidRDefault="00CE6811" w:rsidP="00CE6811">
      <w:pPr>
        <w:jc w:val="both"/>
        <w:rPr>
          <w:rFonts w:cs="Calibri"/>
          <w:b/>
          <w:sz w:val="28"/>
          <w:szCs w:val="28"/>
        </w:rPr>
      </w:pPr>
      <w:r>
        <w:rPr>
          <w:rFonts w:cs="Calibri"/>
          <w:b/>
          <w:sz w:val="28"/>
          <w:szCs w:val="28"/>
        </w:rPr>
        <w:t>Working Together</w:t>
      </w:r>
    </w:p>
    <w:p w14:paraId="6DA173DA" w14:textId="77777777" w:rsidR="00CE6811" w:rsidRDefault="00CE6811" w:rsidP="00CE6811">
      <w:pPr>
        <w:jc w:val="both"/>
        <w:rPr>
          <w:rFonts w:cs="Calibri"/>
          <w:b/>
          <w:sz w:val="28"/>
          <w:szCs w:val="28"/>
        </w:rPr>
      </w:pPr>
    </w:p>
    <w:p w14:paraId="65E666B5" w14:textId="77777777" w:rsidR="00CE6811" w:rsidRDefault="00CE6811" w:rsidP="00CE6811">
      <w:pPr>
        <w:jc w:val="both"/>
        <w:rPr>
          <w:rFonts w:cs="Calibri"/>
          <w:b/>
          <w:sz w:val="28"/>
          <w:szCs w:val="28"/>
        </w:rPr>
      </w:pPr>
      <w:r>
        <w:rPr>
          <w:rFonts w:cs="Calibri"/>
          <w:b/>
          <w:sz w:val="28"/>
          <w:szCs w:val="28"/>
        </w:rPr>
        <w:t>Sustaining Excellence</w:t>
      </w:r>
    </w:p>
    <w:p w14:paraId="52FF18FA" w14:textId="77777777" w:rsidR="00CE6811" w:rsidRDefault="00CE6811" w:rsidP="00CE6811">
      <w:pPr>
        <w:jc w:val="both"/>
        <w:rPr>
          <w:rFonts w:cs="Calibri"/>
          <w:b/>
          <w:sz w:val="28"/>
          <w:szCs w:val="28"/>
        </w:rPr>
      </w:pPr>
    </w:p>
    <w:p w14:paraId="1F6E05E4" w14:textId="77777777" w:rsidR="00CE6811" w:rsidRDefault="00CE6811" w:rsidP="00CE6811">
      <w:pPr>
        <w:jc w:val="both"/>
        <w:rPr>
          <w:rFonts w:cs="Calibri"/>
          <w:b/>
          <w:sz w:val="28"/>
          <w:szCs w:val="28"/>
        </w:rPr>
      </w:pPr>
      <w:r>
        <w:rPr>
          <w:rFonts w:cs="Calibri"/>
          <w:b/>
          <w:sz w:val="28"/>
          <w:szCs w:val="28"/>
        </w:rPr>
        <w:t>Transforming Learning</w:t>
      </w:r>
    </w:p>
    <w:p w14:paraId="5AE4B1DA" w14:textId="77777777" w:rsidR="00CE6811" w:rsidRDefault="00CE6811" w:rsidP="00CE6811">
      <w:pPr>
        <w:jc w:val="both"/>
        <w:rPr>
          <w:rFonts w:ascii="Cambria" w:hAnsi="Cambria"/>
          <w:b/>
        </w:rPr>
      </w:pPr>
    </w:p>
    <w:p w14:paraId="1287D09D" w14:textId="77777777" w:rsidR="00CE6811" w:rsidRDefault="00CE6811" w:rsidP="00CE6811">
      <w:pPr>
        <w:jc w:val="both"/>
        <w:rPr>
          <w:rFonts w:ascii="Cambria" w:hAnsi="Cambria"/>
          <w:b/>
        </w:rPr>
      </w:pPr>
    </w:p>
    <w:p w14:paraId="7F5AD765" w14:textId="77777777" w:rsidR="00CE6811" w:rsidRDefault="00CE6811" w:rsidP="00CE6811">
      <w:pPr>
        <w:jc w:val="both"/>
        <w:rPr>
          <w:rFonts w:ascii="Cambria" w:hAnsi="Cambria"/>
          <w:b/>
        </w:rPr>
      </w:pPr>
    </w:p>
    <w:p w14:paraId="5B063F04" w14:textId="77777777" w:rsidR="00CE6811" w:rsidRDefault="00CE6811" w:rsidP="00CE6811">
      <w:pPr>
        <w:jc w:val="both"/>
        <w:rPr>
          <w:rFonts w:ascii="Cambria" w:hAnsi="Cambria"/>
          <w:b/>
        </w:rPr>
      </w:pPr>
    </w:p>
    <w:p w14:paraId="19AC6A13" w14:textId="77777777" w:rsidR="00CE6811" w:rsidRDefault="00CE6811" w:rsidP="00CE6811">
      <w:pPr>
        <w:jc w:val="both"/>
        <w:rPr>
          <w:rFonts w:ascii="Cambria" w:hAnsi="Cambria"/>
          <w:b/>
        </w:rPr>
      </w:pPr>
    </w:p>
    <w:p w14:paraId="066E2AC8" w14:textId="77777777" w:rsidR="00CE6811" w:rsidRDefault="00CE6811" w:rsidP="00CE6811">
      <w:pPr>
        <w:jc w:val="both"/>
        <w:rPr>
          <w:rFonts w:ascii="Cambria" w:hAnsi="Cambria"/>
          <w:b/>
        </w:rPr>
      </w:pPr>
    </w:p>
    <w:p w14:paraId="4B6BDFE5" w14:textId="1E9A95BD" w:rsidR="00CE6811" w:rsidRDefault="00CE6811" w:rsidP="00CE6811">
      <w:pPr>
        <w:jc w:val="both"/>
        <w:rPr>
          <w:rFonts w:ascii="Calibri" w:hAnsi="Calibri" w:cs="Calibri"/>
          <w:b/>
          <w:sz w:val="36"/>
          <w:szCs w:val="36"/>
        </w:rPr>
      </w:pPr>
      <w:r>
        <w:rPr>
          <w:rFonts w:cs="Calibri"/>
          <w:b/>
          <w:sz w:val="36"/>
          <w:szCs w:val="36"/>
        </w:rPr>
        <w:t xml:space="preserve">                           Reserves Policy 2018</w:t>
      </w:r>
    </w:p>
    <w:p w14:paraId="04793899" w14:textId="77777777" w:rsidR="00CE6811" w:rsidRDefault="00CE6811" w:rsidP="00CE6811">
      <w:pPr>
        <w:jc w:val="both"/>
        <w:rPr>
          <w:rFonts w:ascii="Cambria" w:hAnsi="Cambria"/>
          <w:b/>
        </w:rPr>
      </w:pPr>
    </w:p>
    <w:p w14:paraId="397D0858" w14:textId="316F3892" w:rsidR="00CE6811" w:rsidRDefault="00CE6811" w:rsidP="00CE6811">
      <w:pPr>
        <w:jc w:val="both"/>
        <w:rPr>
          <w:rFonts w:ascii="Cambria" w:hAnsi="Cambria"/>
          <w:b/>
        </w:rPr>
      </w:pPr>
      <w:r>
        <w:rPr>
          <w:rFonts w:ascii="Cambria" w:hAnsi="Cambria"/>
          <w:b/>
        </w:rPr>
        <w:t xml:space="preserve">                                                       </w:t>
      </w:r>
      <w:r>
        <w:rPr>
          <w:rFonts w:eastAsia="Times New Roman" w:cs="Times New Roman"/>
          <w:b/>
          <w:noProof/>
          <w:color w:val="000000"/>
          <w:sz w:val="28"/>
          <w:szCs w:val="28"/>
          <w:lang w:eastAsia="en-GB"/>
        </w:rPr>
        <w:drawing>
          <wp:inline distT="0" distB="0" distL="0" distR="0" wp14:anchorId="4EBAD843" wp14:editId="6C73CC3D">
            <wp:extent cx="1005840" cy="1150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150620"/>
                    </a:xfrm>
                    <a:prstGeom prst="rect">
                      <a:avLst/>
                    </a:prstGeom>
                    <a:noFill/>
                    <a:ln>
                      <a:noFill/>
                    </a:ln>
                  </pic:spPr>
                </pic:pic>
              </a:graphicData>
            </a:graphic>
          </wp:inline>
        </w:drawing>
      </w:r>
    </w:p>
    <w:p w14:paraId="0CB5EBBE" w14:textId="77777777" w:rsidR="00CE6811" w:rsidRDefault="00CE6811" w:rsidP="00CE6811">
      <w:pPr>
        <w:jc w:val="both"/>
        <w:rPr>
          <w:rFonts w:ascii="Cambria" w:hAnsi="Cambria"/>
          <w:b/>
        </w:rPr>
      </w:pPr>
    </w:p>
    <w:p w14:paraId="3A218E59" w14:textId="77777777" w:rsidR="00CE6811" w:rsidRDefault="00CE6811" w:rsidP="00CE6811">
      <w:pPr>
        <w:jc w:val="both"/>
        <w:rPr>
          <w:rFonts w:ascii="Cambria" w:hAnsi="Cambria"/>
          <w:b/>
        </w:rPr>
      </w:pPr>
    </w:p>
    <w:p w14:paraId="345EBA42" w14:textId="3845142C" w:rsidR="00CE6811" w:rsidRDefault="00CE6811" w:rsidP="00CE6811">
      <w:pPr>
        <w:jc w:val="both"/>
        <w:rPr>
          <w:rFonts w:ascii="Cambria" w:hAnsi="Cambria"/>
          <w:b/>
        </w:rPr>
      </w:pPr>
      <w:r>
        <w:rPr>
          <w:rFonts w:ascii="Calibri" w:hAnsi="Calibri"/>
          <w:noProof/>
          <w:lang w:eastAsia="en-GB"/>
        </w:rPr>
        <mc:AlternateContent>
          <mc:Choice Requires="wps">
            <w:drawing>
              <wp:anchor distT="45720" distB="45720" distL="114300" distR="114300" simplePos="0" relativeHeight="251659264" behindDoc="0" locked="0" layoutInCell="1" allowOverlap="1" wp14:anchorId="468DF347" wp14:editId="4DEA8033">
                <wp:simplePos x="0" y="0"/>
                <wp:positionH relativeFrom="margin">
                  <wp:align>left</wp:align>
                </wp:positionH>
                <wp:positionV relativeFrom="paragraph">
                  <wp:posOffset>6350</wp:posOffset>
                </wp:positionV>
                <wp:extent cx="3991610" cy="2301240"/>
                <wp:effectExtent l="0" t="0" r="2794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2301240"/>
                        </a:xfrm>
                        <a:prstGeom prst="rect">
                          <a:avLst/>
                        </a:prstGeom>
                        <a:solidFill>
                          <a:srgbClr val="FFFFFF"/>
                        </a:solidFill>
                        <a:ln w="9525">
                          <a:solidFill>
                            <a:srgbClr val="000000"/>
                          </a:solidFill>
                          <a:miter lim="800000"/>
                          <a:headEnd/>
                          <a:tailEnd/>
                        </a:ln>
                      </wps:spPr>
                      <wps:txbx>
                        <w:txbxContent>
                          <w:p w14:paraId="71076AA3" w14:textId="77777777" w:rsidR="00CE6811" w:rsidRDefault="00CE6811" w:rsidP="00CE6811">
                            <w:pPr>
                              <w:rPr>
                                <w:b/>
                              </w:rPr>
                            </w:pPr>
                            <w:r>
                              <w:rPr>
                                <w:b/>
                              </w:rPr>
                              <w:t>WHY IS THIS POLICY REQUIRED:</w:t>
                            </w:r>
                          </w:p>
                          <w:p w14:paraId="4492E96C" w14:textId="6C4F40E2" w:rsidR="00CE6811" w:rsidRPr="00CE6811" w:rsidRDefault="00CE6811" w:rsidP="00CE6811">
                            <w:pPr>
                              <w:spacing w:after="160" w:line="256" w:lineRule="auto"/>
                            </w:pPr>
                            <w:r>
                              <w:t>Statutory compliance</w:t>
                            </w:r>
                          </w:p>
                          <w:p w14:paraId="5311B7F7" w14:textId="77777777" w:rsidR="00CE6811" w:rsidRDefault="00CE6811" w:rsidP="00CE6811">
                            <w:pPr>
                              <w:spacing w:after="160" w:line="256" w:lineRule="auto"/>
                              <w:rPr>
                                <w:b/>
                              </w:rPr>
                            </w:pPr>
                            <w:r>
                              <w:rPr>
                                <w:b/>
                              </w:rPr>
                              <w:t>WHAT CHANGES HAVE BEEN MADE:</w:t>
                            </w:r>
                          </w:p>
                          <w:p w14:paraId="69CB4F80" w14:textId="5EAEC4CB" w:rsidR="00CE6811" w:rsidRDefault="00CE6811" w:rsidP="00CE6811">
                            <w:pPr>
                              <w:spacing w:after="160" w:line="256" w:lineRule="auto"/>
                              <w:rPr>
                                <w:b/>
                              </w:rPr>
                            </w:pPr>
                            <w:r>
                              <w:rPr>
                                <w:b/>
                              </w:rPr>
                              <w:t>Context page 1 – RLT still in infancy</w:t>
                            </w:r>
                          </w:p>
                          <w:p w14:paraId="71C07ED4" w14:textId="109A6680" w:rsidR="00F75831" w:rsidRDefault="00F75831" w:rsidP="00CE6811">
                            <w:pPr>
                              <w:spacing w:after="160" w:line="256" w:lineRule="auto"/>
                              <w:rPr>
                                <w:b/>
                              </w:rPr>
                            </w:pPr>
                            <w:r>
                              <w:rPr>
                                <w:b/>
                              </w:rPr>
                              <w:t>Reserves amount increased</w:t>
                            </w:r>
                          </w:p>
                          <w:p w14:paraId="37B5DA5C" w14:textId="77777777" w:rsidR="00CE6811" w:rsidRDefault="00CE6811" w:rsidP="00CE6811">
                            <w:pPr>
                              <w:spacing w:after="160" w:line="256" w:lineRule="auto"/>
                              <w:rPr>
                                <w:b/>
                              </w:rPr>
                            </w:pPr>
                            <w:r>
                              <w:rPr>
                                <w:b/>
                              </w:rPr>
                              <w:t>WHAT IS THE IMPACT OF THIS POLICY:</w:t>
                            </w:r>
                          </w:p>
                          <w:p w14:paraId="5686D4BC" w14:textId="281958B9" w:rsidR="00CE6811" w:rsidRDefault="00CE6811" w:rsidP="00CE6811">
                            <w:pPr>
                              <w:spacing w:after="160" w:line="256" w:lineRule="auto"/>
                              <w:rPr>
                                <w:b/>
                              </w:rPr>
                            </w:pPr>
                            <w:r>
                              <w:rPr>
                                <w:b/>
                              </w:rPr>
                              <w:t>Guidance</w:t>
                            </w:r>
                          </w:p>
                          <w:p w14:paraId="0D9C1DEC" w14:textId="2CBFC3EA" w:rsidR="00CE6811" w:rsidRDefault="00CE6811" w:rsidP="00CE6811">
                            <w:pPr>
                              <w:spacing w:after="160" w:line="256" w:lineRule="auto"/>
                              <w:rPr>
                                <w:b/>
                              </w:rPr>
                            </w:pPr>
                            <w:r>
                              <w:rPr>
                                <w:b/>
                              </w:rPr>
                              <w:t>DATE: February 2018</w:t>
                            </w:r>
                          </w:p>
                          <w:p w14:paraId="3934903F" w14:textId="543F92F4" w:rsidR="00CE6811" w:rsidRDefault="00CE6811" w:rsidP="00CE6811">
                            <w:pPr>
                              <w:spacing w:after="160" w:line="256" w:lineRule="auto"/>
                              <w:rPr>
                                <w:b/>
                              </w:rPr>
                            </w:pPr>
                            <w:r>
                              <w:rPr>
                                <w:b/>
                              </w:rPr>
                              <w:t>REVIEW DATE: February 2019</w:t>
                            </w:r>
                          </w:p>
                          <w:p w14:paraId="308E8C7E" w14:textId="77777777" w:rsidR="00CE6811" w:rsidRDefault="00CE6811" w:rsidP="00CE6811">
                            <w:pPr>
                              <w:rPr>
                                <w:rFonts w:ascii="Calibri" w:eastAsiaTheme="minorEastAsia" w:hAnsi="Calibr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DF347" id="_x0000_t202" coordsize="21600,21600" o:spt="202" path="m,l,21600r21600,l21600,xe">
                <v:stroke joinstyle="miter"/>
                <v:path gradientshapeok="t" o:connecttype="rect"/>
              </v:shapetype>
              <v:shape id="Text Box 217" o:spid="_x0000_s1026" type="#_x0000_t202" style="position:absolute;left:0;text-align:left;margin-left:0;margin-top:.5pt;width:314.3pt;height:18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wqJgIAAEk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">
                <v:textbox>
                  <w:txbxContent>
                    <w:p w14:paraId="71076AA3" w14:textId="77777777" w:rsidR="00CE6811" w:rsidRDefault="00CE6811" w:rsidP="00CE6811">
                      <w:pPr>
                        <w:rPr>
                          <w:b/>
                        </w:rPr>
                      </w:pPr>
                      <w:r>
                        <w:rPr>
                          <w:b/>
                        </w:rPr>
                        <w:t>WHY IS THIS POLICY REQUIRED:</w:t>
                      </w:r>
                    </w:p>
                    <w:p w14:paraId="4492E96C" w14:textId="6C4F40E2" w:rsidR="00CE6811" w:rsidRPr="00CE6811" w:rsidRDefault="00CE6811" w:rsidP="00CE6811">
                      <w:pPr>
                        <w:spacing w:after="160" w:line="256" w:lineRule="auto"/>
                      </w:pPr>
                      <w:r>
                        <w:t>Statutory compliance</w:t>
                      </w:r>
                    </w:p>
                    <w:p w14:paraId="5311B7F7" w14:textId="77777777" w:rsidR="00CE6811" w:rsidRDefault="00CE6811" w:rsidP="00CE6811">
                      <w:pPr>
                        <w:spacing w:after="160" w:line="256" w:lineRule="auto"/>
                        <w:rPr>
                          <w:b/>
                        </w:rPr>
                      </w:pPr>
                      <w:r>
                        <w:rPr>
                          <w:b/>
                        </w:rPr>
                        <w:t>WHAT CHANGES HAVE BEEN MADE:</w:t>
                      </w:r>
                    </w:p>
                    <w:p w14:paraId="69CB4F80" w14:textId="5EAEC4CB" w:rsidR="00CE6811" w:rsidRDefault="00CE6811" w:rsidP="00CE6811">
                      <w:pPr>
                        <w:spacing w:after="160" w:line="256" w:lineRule="auto"/>
                        <w:rPr>
                          <w:b/>
                        </w:rPr>
                      </w:pPr>
                      <w:r>
                        <w:rPr>
                          <w:b/>
                        </w:rPr>
                        <w:t>Context page 1 – RLT still in infancy</w:t>
                      </w:r>
                    </w:p>
                    <w:p w14:paraId="71C07ED4" w14:textId="109A6680" w:rsidR="00F75831" w:rsidRDefault="00F75831" w:rsidP="00CE6811">
                      <w:pPr>
                        <w:spacing w:after="160" w:line="256" w:lineRule="auto"/>
                        <w:rPr>
                          <w:b/>
                        </w:rPr>
                      </w:pPr>
                      <w:r>
                        <w:rPr>
                          <w:b/>
                        </w:rPr>
                        <w:t>Reserves amount increased</w:t>
                      </w:r>
                      <w:bookmarkStart w:id="1" w:name="_GoBack"/>
                      <w:bookmarkEnd w:id="1"/>
                    </w:p>
                    <w:p w14:paraId="37B5DA5C" w14:textId="77777777" w:rsidR="00CE6811" w:rsidRDefault="00CE6811" w:rsidP="00CE6811">
                      <w:pPr>
                        <w:spacing w:after="160" w:line="256" w:lineRule="auto"/>
                        <w:rPr>
                          <w:b/>
                        </w:rPr>
                      </w:pPr>
                      <w:r>
                        <w:rPr>
                          <w:b/>
                        </w:rPr>
                        <w:t>WHAT IS THE IMPACT OF THIS POLICY:</w:t>
                      </w:r>
                    </w:p>
                    <w:p w14:paraId="5686D4BC" w14:textId="281958B9" w:rsidR="00CE6811" w:rsidRDefault="00CE6811" w:rsidP="00CE6811">
                      <w:pPr>
                        <w:spacing w:after="160" w:line="256" w:lineRule="auto"/>
                        <w:rPr>
                          <w:b/>
                        </w:rPr>
                      </w:pPr>
                      <w:r>
                        <w:rPr>
                          <w:b/>
                        </w:rPr>
                        <w:t>Guidance</w:t>
                      </w:r>
                    </w:p>
                    <w:p w14:paraId="0D9C1DEC" w14:textId="2CBFC3EA" w:rsidR="00CE6811" w:rsidRDefault="00CE6811" w:rsidP="00CE6811">
                      <w:pPr>
                        <w:spacing w:after="160" w:line="256" w:lineRule="auto"/>
                        <w:rPr>
                          <w:b/>
                        </w:rPr>
                      </w:pPr>
                      <w:r>
                        <w:rPr>
                          <w:b/>
                        </w:rPr>
                        <w:t>DATE: February 2018</w:t>
                      </w:r>
                    </w:p>
                    <w:p w14:paraId="3934903F" w14:textId="543F92F4" w:rsidR="00CE6811" w:rsidRDefault="00CE6811" w:rsidP="00CE6811">
                      <w:pPr>
                        <w:spacing w:after="160" w:line="256" w:lineRule="auto"/>
                        <w:rPr>
                          <w:b/>
                        </w:rPr>
                      </w:pPr>
                      <w:r>
                        <w:rPr>
                          <w:b/>
                        </w:rPr>
                        <w:t>REVIEW DATE: February 2019</w:t>
                      </w:r>
                    </w:p>
                    <w:p w14:paraId="308E8C7E" w14:textId="77777777" w:rsidR="00CE6811" w:rsidRDefault="00CE6811" w:rsidP="00CE6811">
                      <w:pPr>
                        <w:rPr>
                          <w:rFonts w:ascii="Calibri" w:eastAsiaTheme="minorEastAsia" w:hAnsi="Calibri"/>
                          <w:lang w:val="en-US"/>
                        </w:rPr>
                      </w:pPr>
                    </w:p>
                  </w:txbxContent>
                </v:textbox>
                <w10:wrap type="square" anchorx="margin"/>
              </v:shape>
            </w:pict>
          </mc:Fallback>
        </mc:AlternateContent>
      </w:r>
      <w:r>
        <w:rPr>
          <w:rFonts w:eastAsia="Times New Roman" w:cs="Times New Roman"/>
          <w:b/>
          <w:noProof/>
          <w:color w:val="000000"/>
          <w:sz w:val="28"/>
          <w:szCs w:val="28"/>
          <w:lang w:eastAsia="en-GB"/>
        </w:rPr>
        <w:t xml:space="preserve">                                         </w:t>
      </w:r>
    </w:p>
    <w:p w14:paraId="311C4C38" w14:textId="77777777" w:rsidR="00CE6811" w:rsidRDefault="00CE6811" w:rsidP="00CE6811">
      <w:pPr>
        <w:jc w:val="both"/>
        <w:rPr>
          <w:rFonts w:ascii="Cambria" w:hAnsi="Cambria"/>
          <w:b/>
        </w:rPr>
      </w:pPr>
    </w:p>
    <w:p w14:paraId="25A4DCCF" w14:textId="77777777" w:rsidR="00CE6811" w:rsidRDefault="00CE6811" w:rsidP="00CE6811">
      <w:pPr>
        <w:rPr>
          <w:rFonts w:ascii="Cambria" w:hAnsi="Cambria"/>
          <w:b/>
        </w:rPr>
      </w:pPr>
    </w:p>
    <w:p w14:paraId="40B7AA38" w14:textId="77777777" w:rsidR="00CE6811" w:rsidRDefault="00CE6811" w:rsidP="00CE6811">
      <w:pPr>
        <w:jc w:val="both"/>
        <w:rPr>
          <w:rFonts w:ascii="Cambria" w:hAnsi="Cambria"/>
          <w:b/>
        </w:rPr>
      </w:pPr>
      <w:r>
        <w:rPr>
          <w:rFonts w:ascii="Cambria" w:hAnsi="Cambria"/>
          <w:b/>
        </w:rPr>
        <w:t xml:space="preserve">  </w:t>
      </w:r>
    </w:p>
    <w:p w14:paraId="610A08F3" w14:textId="77777777" w:rsidR="00CE6811" w:rsidRDefault="00CE6811" w:rsidP="00CE6811">
      <w:pPr>
        <w:rPr>
          <w:rFonts w:ascii="Calibri" w:hAnsi="Calibri"/>
        </w:rPr>
      </w:pPr>
    </w:p>
    <w:p w14:paraId="7E036E93" w14:textId="77777777" w:rsidR="00034D13" w:rsidRDefault="00034D13" w:rsidP="00297820">
      <w:pPr>
        <w:rPr>
          <w:sz w:val="36"/>
        </w:rPr>
      </w:pPr>
    </w:p>
    <w:p w14:paraId="251BE545" w14:textId="77777777" w:rsidR="00297820" w:rsidRDefault="00297820" w:rsidP="00297820">
      <w:pPr>
        <w:rPr>
          <w:rFonts w:cs="Avenir Book"/>
          <w:sz w:val="20"/>
          <w:szCs w:val="20"/>
        </w:rPr>
      </w:pPr>
    </w:p>
    <w:p w14:paraId="64B60A31" w14:textId="77777777" w:rsidR="00034D13" w:rsidRDefault="00034D13" w:rsidP="00297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venir Book"/>
          <w:sz w:val="20"/>
          <w:szCs w:val="20"/>
        </w:rPr>
      </w:pPr>
    </w:p>
    <w:p w14:paraId="36B1DF54" w14:textId="77777777" w:rsidR="00034D13" w:rsidRDefault="00034D13" w:rsidP="00297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venir Book"/>
          <w:sz w:val="20"/>
          <w:szCs w:val="20"/>
        </w:rPr>
      </w:pPr>
    </w:p>
    <w:p w14:paraId="4B7B64BB" w14:textId="447BDB06" w:rsidR="00297820" w:rsidRDefault="00297820" w:rsidP="00CE6811">
      <w:pPr>
        <w:tabs>
          <w:tab w:val="center" w:pos="4513"/>
          <w:tab w:val="left" w:pos="8100"/>
        </w:tabs>
        <w:rPr>
          <w:b/>
          <w:sz w:val="32"/>
          <w:szCs w:val="32"/>
        </w:rPr>
      </w:pPr>
    </w:p>
    <w:p w14:paraId="334BA3C6" w14:textId="77777777" w:rsidR="00034D13" w:rsidRDefault="00034D13" w:rsidP="001807D5">
      <w:pPr>
        <w:spacing w:before="100" w:beforeAutospacing="1" w:after="100" w:afterAutospacing="1"/>
        <w:rPr>
          <w:rFonts w:ascii="Calibri,Bold" w:hAnsi="Calibri,Bold" w:cs="Times New Roman"/>
          <w:sz w:val="22"/>
          <w:szCs w:val="22"/>
        </w:rPr>
      </w:pPr>
    </w:p>
    <w:p w14:paraId="637FE74A" w14:textId="6F026D9B" w:rsidR="001807D5" w:rsidRPr="001807D5" w:rsidRDefault="001807D5" w:rsidP="001807D5">
      <w:pPr>
        <w:spacing w:before="100" w:beforeAutospacing="1" w:after="100" w:afterAutospacing="1"/>
        <w:rPr>
          <w:rFonts w:cs="Times New Roman"/>
          <w:sz w:val="22"/>
          <w:szCs w:val="22"/>
        </w:rPr>
      </w:pPr>
      <w:r w:rsidRPr="001807D5">
        <w:rPr>
          <w:rFonts w:cs="Times New Roman"/>
          <w:sz w:val="22"/>
          <w:szCs w:val="22"/>
        </w:rPr>
        <w:lastRenderedPageBreak/>
        <w:t xml:space="preserve">An academy is an exempt charity, regulated by the DFE. </w:t>
      </w:r>
      <w:r w:rsidR="001B467B" w:rsidRPr="00034D13">
        <w:rPr>
          <w:rFonts w:cs="Times New Roman"/>
          <w:sz w:val="22"/>
          <w:szCs w:val="22"/>
        </w:rPr>
        <w:t xml:space="preserve">In line with Charity </w:t>
      </w:r>
      <w:r w:rsidR="008455B3" w:rsidRPr="00034D13">
        <w:rPr>
          <w:rFonts w:cs="Times New Roman"/>
          <w:sz w:val="22"/>
          <w:szCs w:val="22"/>
        </w:rPr>
        <w:t>Commission Guidance</w:t>
      </w:r>
      <w:r w:rsidR="00CE6811">
        <w:rPr>
          <w:rFonts w:cs="Times New Roman"/>
          <w:sz w:val="22"/>
          <w:szCs w:val="22"/>
        </w:rPr>
        <w:t>,</w:t>
      </w:r>
      <w:r w:rsidR="008455B3" w:rsidRPr="00034D13">
        <w:rPr>
          <w:rFonts w:cs="Times New Roman"/>
          <w:sz w:val="22"/>
          <w:szCs w:val="22"/>
        </w:rPr>
        <w:t xml:space="preserve"> </w:t>
      </w:r>
      <w:r w:rsidRPr="001807D5">
        <w:rPr>
          <w:rFonts w:cs="Times New Roman"/>
          <w:sz w:val="22"/>
          <w:szCs w:val="22"/>
        </w:rPr>
        <w:t>The Education Fundin</w:t>
      </w:r>
      <w:r w:rsidR="008455B3" w:rsidRPr="00034D13">
        <w:rPr>
          <w:rFonts w:cs="Times New Roman"/>
          <w:sz w:val="22"/>
          <w:szCs w:val="22"/>
        </w:rPr>
        <w:t>g Agency (EFA) expects a</w:t>
      </w:r>
      <w:r w:rsidR="00353612" w:rsidRPr="00034D13">
        <w:rPr>
          <w:rFonts w:cs="Times New Roman"/>
          <w:sz w:val="22"/>
          <w:szCs w:val="22"/>
        </w:rPr>
        <w:t>cademy trusts</w:t>
      </w:r>
      <w:r w:rsidRPr="001807D5">
        <w:rPr>
          <w:rFonts w:cs="Times New Roman"/>
          <w:sz w:val="22"/>
          <w:szCs w:val="22"/>
        </w:rPr>
        <w:t xml:space="preserve"> to have a reserves policy. </w:t>
      </w:r>
    </w:p>
    <w:p w14:paraId="36A4C20B" w14:textId="5F227D41" w:rsidR="001807D5" w:rsidRPr="001807D5" w:rsidRDefault="001807D5" w:rsidP="001807D5">
      <w:pPr>
        <w:spacing w:before="100" w:beforeAutospacing="1" w:after="100" w:afterAutospacing="1"/>
        <w:rPr>
          <w:rFonts w:cs="Times New Roman"/>
          <w:sz w:val="22"/>
          <w:szCs w:val="22"/>
        </w:rPr>
      </w:pPr>
      <w:r w:rsidRPr="001807D5">
        <w:rPr>
          <w:rFonts w:cs="Times New Roman"/>
          <w:sz w:val="22"/>
          <w:szCs w:val="22"/>
        </w:rPr>
        <w:t xml:space="preserve">However, regardless of the regulatory requirement, establishing reserves that protect the operation of the Trust and contribute to its smooth running is good practice and forms part of its overall financial control and </w:t>
      </w:r>
      <w:r w:rsidR="003919DD" w:rsidRPr="00034D13">
        <w:rPr>
          <w:rFonts w:cs="Times New Roman"/>
          <w:sz w:val="22"/>
          <w:szCs w:val="22"/>
        </w:rPr>
        <w:t>governance framework</w:t>
      </w:r>
      <w:r w:rsidRPr="001807D5">
        <w:rPr>
          <w:rFonts w:cs="Times New Roman"/>
          <w:sz w:val="22"/>
          <w:szCs w:val="22"/>
        </w:rPr>
        <w:t xml:space="preserve">. </w:t>
      </w:r>
    </w:p>
    <w:p w14:paraId="69B4E155" w14:textId="01058F05" w:rsidR="001807D5" w:rsidRPr="001807D5" w:rsidRDefault="006424A6" w:rsidP="001807D5">
      <w:pPr>
        <w:spacing w:before="100" w:beforeAutospacing="1" w:after="100" w:afterAutospacing="1"/>
        <w:rPr>
          <w:rFonts w:cs="Times New Roman"/>
          <w:b/>
          <w:sz w:val="22"/>
          <w:szCs w:val="22"/>
        </w:rPr>
      </w:pPr>
      <w:r w:rsidRPr="00034D13">
        <w:rPr>
          <w:rFonts w:cs="Times New Roman"/>
          <w:b/>
          <w:sz w:val="22"/>
          <w:szCs w:val="22"/>
        </w:rPr>
        <w:t>Consideration</w:t>
      </w:r>
      <w:r w:rsidR="001663F4" w:rsidRPr="00034D13">
        <w:rPr>
          <w:rFonts w:cs="Times New Roman"/>
          <w:b/>
          <w:sz w:val="22"/>
          <w:szCs w:val="22"/>
        </w:rPr>
        <w:t>s</w:t>
      </w:r>
      <w:r w:rsidRPr="00034D13">
        <w:rPr>
          <w:rFonts w:cs="Times New Roman"/>
          <w:b/>
          <w:sz w:val="22"/>
          <w:szCs w:val="22"/>
        </w:rPr>
        <w:t xml:space="preserve"> when determining the level of reserves</w:t>
      </w:r>
      <w:r w:rsidR="001807D5" w:rsidRPr="001807D5">
        <w:rPr>
          <w:rFonts w:cs="Times New Roman"/>
          <w:b/>
          <w:sz w:val="22"/>
          <w:szCs w:val="22"/>
        </w:rPr>
        <w:t xml:space="preserve"> </w:t>
      </w:r>
    </w:p>
    <w:p w14:paraId="159DCA6B" w14:textId="06525A8D" w:rsidR="00076623" w:rsidRPr="00034D13" w:rsidRDefault="001807D5" w:rsidP="001807D5">
      <w:pPr>
        <w:spacing w:before="100" w:beforeAutospacing="1" w:after="100" w:afterAutospacing="1"/>
        <w:rPr>
          <w:rFonts w:cs="Times New Roman"/>
          <w:sz w:val="22"/>
          <w:szCs w:val="22"/>
        </w:rPr>
      </w:pPr>
      <w:r w:rsidRPr="001807D5">
        <w:rPr>
          <w:rFonts w:cs="Times New Roman"/>
          <w:sz w:val="22"/>
          <w:szCs w:val="22"/>
        </w:rPr>
        <w:t>When considering an appropriate level of reserves, the trustees</w:t>
      </w:r>
      <w:r w:rsidR="00FB0A0A" w:rsidRPr="00034D13">
        <w:rPr>
          <w:rFonts w:cs="Times New Roman"/>
          <w:sz w:val="22"/>
          <w:szCs w:val="22"/>
        </w:rPr>
        <w:t xml:space="preserve"> </w:t>
      </w:r>
      <w:r w:rsidRPr="001807D5">
        <w:rPr>
          <w:rFonts w:cs="Times New Roman"/>
          <w:sz w:val="22"/>
          <w:szCs w:val="22"/>
        </w:rPr>
        <w:t xml:space="preserve">consider: </w:t>
      </w:r>
    </w:p>
    <w:p w14:paraId="1AF6BA36" w14:textId="74B4E167" w:rsidR="00480920" w:rsidRPr="00034D13" w:rsidRDefault="00480920" w:rsidP="001807D5">
      <w:pPr>
        <w:spacing w:before="100" w:beforeAutospacing="1" w:after="100" w:afterAutospacing="1"/>
        <w:rPr>
          <w:rFonts w:cs="Times New Roman"/>
          <w:b/>
          <w:sz w:val="22"/>
          <w:szCs w:val="22"/>
        </w:rPr>
      </w:pPr>
      <w:r w:rsidRPr="00034D13">
        <w:rPr>
          <w:rFonts w:cs="Times New Roman"/>
          <w:b/>
          <w:sz w:val="22"/>
          <w:szCs w:val="22"/>
        </w:rPr>
        <w:t>Future Plans</w:t>
      </w:r>
    </w:p>
    <w:p w14:paraId="04318312" w14:textId="694E9E02" w:rsidR="00480920" w:rsidRPr="00034D13" w:rsidRDefault="00480920" w:rsidP="00480920">
      <w:pPr>
        <w:pStyle w:val="ListParagraph"/>
        <w:numPr>
          <w:ilvl w:val="0"/>
          <w:numId w:val="3"/>
        </w:numPr>
        <w:spacing w:before="100" w:beforeAutospacing="1" w:after="100" w:afterAutospacing="1"/>
        <w:rPr>
          <w:rFonts w:cs="Times New Roman"/>
          <w:sz w:val="22"/>
          <w:szCs w:val="22"/>
        </w:rPr>
      </w:pPr>
      <w:r w:rsidRPr="00034D13">
        <w:rPr>
          <w:rFonts w:cs="Times New Roman"/>
          <w:sz w:val="22"/>
          <w:szCs w:val="22"/>
        </w:rPr>
        <w:t>Major capital projects</w:t>
      </w:r>
    </w:p>
    <w:p w14:paraId="62BC351E" w14:textId="081091F7" w:rsidR="00480920" w:rsidRPr="00034D13" w:rsidRDefault="00480920" w:rsidP="00480920">
      <w:pPr>
        <w:pStyle w:val="ListParagraph"/>
        <w:numPr>
          <w:ilvl w:val="0"/>
          <w:numId w:val="3"/>
        </w:numPr>
        <w:spacing w:before="100" w:beforeAutospacing="1" w:after="100" w:afterAutospacing="1"/>
        <w:rPr>
          <w:rFonts w:cs="Times New Roman"/>
          <w:sz w:val="22"/>
          <w:szCs w:val="22"/>
        </w:rPr>
      </w:pPr>
      <w:r w:rsidRPr="00034D13">
        <w:rPr>
          <w:rFonts w:cs="Times New Roman"/>
          <w:sz w:val="22"/>
          <w:szCs w:val="22"/>
        </w:rPr>
        <w:t>Investment in Teaching &amp; Learning</w:t>
      </w:r>
    </w:p>
    <w:p w14:paraId="7EBC5F08" w14:textId="089DE0ED" w:rsidR="00480920" w:rsidRPr="00034D13" w:rsidRDefault="00480920" w:rsidP="00480920">
      <w:pPr>
        <w:pStyle w:val="ListParagraph"/>
        <w:numPr>
          <w:ilvl w:val="0"/>
          <w:numId w:val="3"/>
        </w:numPr>
        <w:spacing w:before="100" w:beforeAutospacing="1" w:after="100" w:afterAutospacing="1"/>
        <w:rPr>
          <w:rFonts w:cs="Times New Roman"/>
          <w:sz w:val="22"/>
          <w:szCs w:val="22"/>
        </w:rPr>
      </w:pPr>
      <w:r w:rsidRPr="00034D13">
        <w:rPr>
          <w:rFonts w:cs="Times New Roman"/>
          <w:sz w:val="22"/>
          <w:szCs w:val="22"/>
        </w:rPr>
        <w:t>Strategic Intent</w:t>
      </w:r>
      <w:r w:rsidR="00034D13">
        <w:rPr>
          <w:rFonts w:cs="Times New Roman"/>
          <w:sz w:val="22"/>
          <w:szCs w:val="22"/>
        </w:rPr>
        <w:t xml:space="preserve"> Implications</w:t>
      </w:r>
      <w:r w:rsidRPr="00034D13">
        <w:rPr>
          <w:rFonts w:cs="Times New Roman"/>
          <w:sz w:val="22"/>
          <w:szCs w:val="22"/>
        </w:rPr>
        <w:t xml:space="preserve"> – </w:t>
      </w:r>
      <w:r w:rsidR="00357CCB" w:rsidRPr="00034D13">
        <w:rPr>
          <w:rFonts w:cs="Times New Roman"/>
          <w:sz w:val="22"/>
          <w:szCs w:val="22"/>
        </w:rPr>
        <w:t xml:space="preserve">e.g. </w:t>
      </w:r>
      <w:r w:rsidRPr="00034D13">
        <w:rPr>
          <w:rFonts w:cs="Times New Roman"/>
          <w:sz w:val="22"/>
          <w:szCs w:val="22"/>
        </w:rPr>
        <w:t>Growth Plan</w:t>
      </w:r>
    </w:p>
    <w:p w14:paraId="7AAA5CBE" w14:textId="69112658" w:rsidR="00480920" w:rsidRPr="00034D13" w:rsidRDefault="00480920" w:rsidP="001807D5">
      <w:pPr>
        <w:spacing w:before="100" w:beforeAutospacing="1" w:after="100" w:afterAutospacing="1"/>
        <w:rPr>
          <w:rFonts w:cs="Times New Roman"/>
          <w:b/>
          <w:sz w:val="22"/>
          <w:szCs w:val="22"/>
        </w:rPr>
      </w:pPr>
      <w:r w:rsidRPr="00034D13">
        <w:rPr>
          <w:rFonts w:cs="Times New Roman"/>
          <w:b/>
          <w:sz w:val="22"/>
          <w:szCs w:val="22"/>
        </w:rPr>
        <w:t>Uncertainty</w:t>
      </w:r>
    </w:p>
    <w:p w14:paraId="123708F9" w14:textId="6E01B726" w:rsidR="0057272B" w:rsidRPr="00034D13" w:rsidRDefault="0057272B" w:rsidP="0057272B">
      <w:pPr>
        <w:pStyle w:val="ListParagraph"/>
        <w:numPr>
          <w:ilvl w:val="0"/>
          <w:numId w:val="4"/>
        </w:numPr>
        <w:spacing w:before="100" w:beforeAutospacing="1" w:after="100" w:afterAutospacing="1"/>
        <w:rPr>
          <w:rFonts w:cs="Times New Roman"/>
          <w:sz w:val="22"/>
          <w:szCs w:val="22"/>
        </w:rPr>
      </w:pPr>
      <w:r w:rsidRPr="00034D13">
        <w:rPr>
          <w:rFonts w:cs="Times New Roman"/>
          <w:sz w:val="22"/>
          <w:szCs w:val="22"/>
        </w:rPr>
        <w:t xml:space="preserve">A large proportion of the income and expenditure is predictable. This reduces but does not eliminate the need to hold reserves for working capital, cash flow and uncertainties. </w:t>
      </w:r>
    </w:p>
    <w:p w14:paraId="47328538" w14:textId="25D36130" w:rsidR="00357CCB" w:rsidRPr="00034D13" w:rsidRDefault="0057272B" w:rsidP="00357CCB">
      <w:pPr>
        <w:pStyle w:val="ListParagraph"/>
        <w:numPr>
          <w:ilvl w:val="0"/>
          <w:numId w:val="4"/>
        </w:numPr>
        <w:spacing w:before="100" w:beforeAutospacing="1" w:after="100" w:afterAutospacing="1"/>
        <w:rPr>
          <w:rFonts w:cs="Times New Roman"/>
          <w:sz w:val="22"/>
          <w:szCs w:val="22"/>
        </w:rPr>
      </w:pPr>
      <w:r w:rsidRPr="00034D13">
        <w:rPr>
          <w:rFonts w:cs="Times New Roman"/>
          <w:sz w:val="22"/>
          <w:szCs w:val="22"/>
        </w:rPr>
        <w:t>Reference should be made to the risk register for review of the likelihood of certain financial uncertainties and their potential impact plus the measures in place to negate them. E.g.</w:t>
      </w:r>
    </w:p>
    <w:p w14:paraId="0623C89A" w14:textId="00D833AB" w:rsidR="0057272B" w:rsidRPr="00034D13" w:rsidRDefault="0057272B" w:rsidP="0057272B">
      <w:pPr>
        <w:pStyle w:val="ListParagraph"/>
        <w:numPr>
          <w:ilvl w:val="1"/>
          <w:numId w:val="4"/>
        </w:numPr>
        <w:spacing w:before="100" w:beforeAutospacing="1" w:after="100" w:afterAutospacing="1"/>
        <w:rPr>
          <w:rFonts w:cs="Times New Roman"/>
          <w:sz w:val="22"/>
          <w:szCs w:val="22"/>
        </w:rPr>
      </w:pPr>
      <w:r w:rsidRPr="001807D5">
        <w:rPr>
          <w:rFonts w:cs="Times New Roman"/>
          <w:sz w:val="22"/>
          <w:szCs w:val="22"/>
        </w:rPr>
        <w:t>Covering unforeseen day-to-day operational costs, for example employing temporary staff to cover a long-term sick absence</w:t>
      </w:r>
    </w:p>
    <w:p w14:paraId="0142D787" w14:textId="624FCEE9" w:rsidR="0057272B" w:rsidRPr="00034D13" w:rsidRDefault="0057272B" w:rsidP="0057272B">
      <w:pPr>
        <w:pStyle w:val="ListParagraph"/>
        <w:numPr>
          <w:ilvl w:val="1"/>
          <w:numId w:val="4"/>
        </w:numPr>
        <w:spacing w:before="100" w:beforeAutospacing="1" w:after="100" w:afterAutospacing="1"/>
        <w:rPr>
          <w:rFonts w:cs="Times New Roman"/>
          <w:sz w:val="22"/>
          <w:szCs w:val="22"/>
        </w:rPr>
      </w:pPr>
      <w:r w:rsidRPr="001807D5">
        <w:rPr>
          <w:rFonts w:cs="Times New Roman"/>
          <w:sz w:val="22"/>
          <w:szCs w:val="22"/>
        </w:rPr>
        <w:t>A fall in a source of income, such as lettings</w:t>
      </w:r>
    </w:p>
    <w:p w14:paraId="1CB7896E" w14:textId="0F1C0567" w:rsidR="0057272B" w:rsidRPr="00034D13" w:rsidRDefault="0057272B" w:rsidP="0057272B">
      <w:pPr>
        <w:pStyle w:val="ListParagraph"/>
        <w:numPr>
          <w:ilvl w:val="1"/>
          <w:numId w:val="4"/>
        </w:numPr>
        <w:spacing w:before="100" w:beforeAutospacing="1" w:after="100" w:afterAutospacing="1"/>
        <w:rPr>
          <w:rFonts w:cs="Times New Roman"/>
          <w:sz w:val="22"/>
          <w:szCs w:val="22"/>
        </w:rPr>
      </w:pPr>
      <w:r w:rsidRPr="00034D13">
        <w:rPr>
          <w:rFonts w:cs="Times New Roman"/>
          <w:sz w:val="22"/>
          <w:szCs w:val="22"/>
        </w:rPr>
        <w:t>Fall in pupil numbers</w:t>
      </w:r>
    </w:p>
    <w:p w14:paraId="482002E6" w14:textId="1CE26A8D" w:rsidR="0057272B" w:rsidRPr="00034D13" w:rsidRDefault="0057272B" w:rsidP="0057272B">
      <w:pPr>
        <w:pStyle w:val="ListParagraph"/>
        <w:numPr>
          <w:ilvl w:val="1"/>
          <w:numId w:val="4"/>
        </w:numPr>
        <w:spacing w:before="100" w:beforeAutospacing="1" w:after="100" w:afterAutospacing="1"/>
        <w:rPr>
          <w:rFonts w:cs="Times New Roman"/>
          <w:sz w:val="22"/>
          <w:szCs w:val="22"/>
        </w:rPr>
      </w:pPr>
      <w:r w:rsidRPr="00034D13">
        <w:rPr>
          <w:rFonts w:cs="Times New Roman"/>
          <w:sz w:val="22"/>
          <w:szCs w:val="22"/>
        </w:rPr>
        <w:t>Unexpected additional costs – e.g. legal</w:t>
      </w:r>
    </w:p>
    <w:p w14:paraId="5C5FFA46" w14:textId="6ABCA27F" w:rsidR="00480920" w:rsidRPr="00034D13" w:rsidRDefault="00480920" w:rsidP="001807D5">
      <w:pPr>
        <w:spacing w:before="100" w:beforeAutospacing="1" w:after="100" w:afterAutospacing="1"/>
        <w:rPr>
          <w:rFonts w:cs="Times New Roman"/>
          <w:b/>
          <w:sz w:val="22"/>
          <w:szCs w:val="22"/>
        </w:rPr>
      </w:pPr>
      <w:r w:rsidRPr="00034D13">
        <w:rPr>
          <w:rFonts w:cs="Times New Roman"/>
          <w:b/>
          <w:sz w:val="22"/>
          <w:szCs w:val="22"/>
        </w:rPr>
        <w:t>Funds Management</w:t>
      </w:r>
    </w:p>
    <w:p w14:paraId="17FBA94D" w14:textId="15FFAC61" w:rsidR="0057272B" w:rsidRPr="00034D13" w:rsidRDefault="0057272B" w:rsidP="0057272B">
      <w:pPr>
        <w:pStyle w:val="ListParagraph"/>
        <w:numPr>
          <w:ilvl w:val="0"/>
          <w:numId w:val="5"/>
        </w:numPr>
        <w:spacing w:before="100" w:beforeAutospacing="1" w:after="100" w:afterAutospacing="1"/>
        <w:rPr>
          <w:rFonts w:cs="Times New Roman"/>
          <w:sz w:val="22"/>
          <w:szCs w:val="22"/>
        </w:rPr>
      </w:pPr>
      <w:r w:rsidRPr="00034D13">
        <w:rPr>
          <w:rFonts w:cs="Times New Roman"/>
          <w:sz w:val="22"/>
          <w:szCs w:val="22"/>
        </w:rPr>
        <w:t>Next year</w:t>
      </w:r>
      <w:r w:rsidR="00883BEA">
        <w:rPr>
          <w:rFonts w:cs="Times New Roman"/>
          <w:sz w:val="22"/>
          <w:szCs w:val="22"/>
        </w:rPr>
        <w:t>’</w:t>
      </w:r>
      <w:r w:rsidRPr="00034D13">
        <w:rPr>
          <w:rFonts w:cs="Times New Roman"/>
          <w:sz w:val="22"/>
          <w:szCs w:val="22"/>
        </w:rPr>
        <w:t>s budget</w:t>
      </w:r>
    </w:p>
    <w:p w14:paraId="351E695B" w14:textId="43CCC226" w:rsidR="0057272B" w:rsidRPr="00034D13" w:rsidRDefault="0057272B" w:rsidP="0057272B">
      <w:pPr>
        <w:pStyle w:val="ListParagraph"/>
        <w:numPr>
          <w:ilvl w:val="0"/>
          <w:numId w:val="5"/>
        </w:numPr>
        <w:spacing w:before="100" w:beforeAutospacing="1" w:after="100" w:afterAutospacing="1"/>
        <w:rPr>
          <w:rFonts w:cs="Times New Roman"/>
          <w:sz w:val="22"/>
          <w:szCs w:val="22"/>
        </w:rPr>
      </w:pPr>
      <w:r w:rsidRPr="00034D13">
        <w:rPr>
          <w:rFonts w:cs="Times New Roman"/>
          <w:sz w:val="22"/>
          <w:szCs w:val="22"/>
        </w:rPr>
        <w:t>Working capital and cash flow requirements</w:t>
      </w:r>
    </w:p>
    <w:p w14:paraId="2523F47A" w14:textId="7BD939E8" w:rsidR="00337C61" w:rsidRPr="00034D13" w:rsidRDefault="0057272B" w:rsidP="0057272B">
      <w:pPr>
        <w:pStyle w:val="ListParagraph"/>
        <w:numPr>
          <w:ilvl w:val="0"/>
          <w:numId w:val="5"/>
        </w:numPr>
        <w:spacing w:before="100" w:beforeAutospacing="1" w:after="100" w:afterAutospacing="1"/>
        <w:rPr>
          <w:rFonts w:cs="Times New Roman"/>
          <w:sz w:val="22"/>
          <w:szCs w:val="22"/>
        </w:rPr>
      </w:pPr>
      <w:r w:rsidRPr="00034D13">
        <w:rPr>
          <w:rFonts w:cs="Times New Roman"/>
          <w:sz w:val="22"/>
          <w:szCs w:val="22"/>
        </w:rPr>
        <w:t>Maintenance and ongoing capital investment</w:t>
      </w:r>
    </w:p>
    <w:p w14:paraId="7E8C329E" w14:textId="5A7F979B" w:rsidR="001B0F88" w:rsidRPr="00034D13" w:rsidRDefault="0057272B" w:rsidP="0057272B">
      <w:pPr>
        <w:spacing w:before="100" w:beforeAutospacing="1" w:after="100" w:afterAutospacing="1"/>
        <w:rPr>
          <w:rFonts w:cs="Times New Roman"/>
          <w:b/>
          <w:sz w:val="22"/>
          <w:szCs w:val="22"/>
        </w:rPr>
      </w:pPr>
      <w:r w:rsidRPr="00034D13">
        <w:rPr>
          <w:rFonts w:cs="Times New Roman"/>
          <w:b/>
          <w:sz w:val="22"/>
          <w:szCs w:val="22"/>
        </w:rPr>
        <w:t>Context</w:t>
      </w:r>
    </w:p>
    <w:p w14:paraId="5417067C" w14:textId="0AAE2AD6" w:rsidR="00D16794" w:rsidRPr="00034D13" w:rsidRDefault="00883BEA" w:rsidP="00D16794">
      <w:pPr>
        <w:pStyle w:val="ListParagraph"/>
        <w:numPr>
          <w:ilvl w:val="0"/>
          <w:numId w:val="1"/>
        </w:numPr>
        <w:spacing w:before="100" w:beforeAutospacing="1" w:after="100" w:afterAutospacing="1"/>
        <w:rPr>
          <w:rFonts w:cs="Times New Roman"/>
          <w:sz w:val="22"/>
          <w:szCs w:val="22"/>
        </w:rPr>
      </w:pPr>
      <w:r>
        <w:rPr>
          <w:rFonts w:cs="Times New Roman"/>
          <w:sz w:val="22"/>
          <w:szCs w:val="22"/>
        </w:rPr>
        <w:t>The RLT is still in</w:t>
      </w:r>
      <w:r w:rsidR="00D16794" w:rsidRPr="00034D13">
        <w:rPr>
          <w:rFonts w:cs="Times New Roman"/>
          <w:sz w:val="22"/>
          <w:szCs w:val="22"/>
        </w:rPr>
        <w:t xml:space="preserve"> its infancy and is still bearing the costs of establishing an infrastructure suitable for the planned growth</w:t>
      </w:r>
      <w:r w:rsidR="00CE6811">
        <w:rPr>
          <w:rFonts w:cs="Times New Roman"/>
          <w:sz w:val="22"/>
          <w:szCs w:val="22"/>
        </w:rPr>
        <w:t>.</w:t>
      </w:r>
    </w:p>
    <w:p w14:paraId="26FC1C2E" w14:textId="21F8233D" w:rsidR="00D16794" w:rsidRPr="00034D13" w:rsidRDefault="00D16794" w:rsidP="00D16794">
      <w:pPr>
        <w:pStyle w:val="ListParagraph"/>
        <w:numPr>
          <w:ilvl w:val="0"/>
          <w:numId w:val="1"/>
        </w:numPr>
        <w:spacing w:before="100" w:beforeAutospacing="1" w:after="100" w:afterAutospacing="1"/>
        <w:rPr>
          <w:rFonts w:cs="Times New Roman"/>
          <w:sz w:val="22"/>
          <w:szCs w:val="22"/>
        </w:rPr>
      </w:pPr>
      <w:r w:rsidRPr="00034D13">
        <w:rPr>
          <w:rFonts w:cs="Times New Roman"/>
          <w:sz w:val="22"/>
          <w:szCs w:val="22"/>
        </w:rPr>
        <w:t xml:space="preserve">It is made up of small </w:t>
      </w:r>
      <w:r w:rsidR="00CE6811">
        <w:rPr>
          <w:rFonts w:cs="Times New Roman"/>
          <w:sz w:val="22"/>
          <w:szCs w:val="22"/>
        </w:rPr>
        <w:t xml:space="preserve">rural primary schools set in </w:t>
      </w:r>
      <w:r w:rsidRPr="00034D13">
        <w:rPr>
          <w:rFonts w:cs="Times New Roman"/>
          <w:sz w:val="22"/>
          <w:szCs w:val="22"/>
        </w:rPr>
        <w:t>affluent location</w:t>
      </w:r>
      <w:r w:rsidR="003B1E5A" w:rsidRPr="00034D13">
        <w:rPr>
          <w:rFonts w:cs="Times New Roman"/>
          <w:sz w:val="22"/>
          <w:szCs w:val="22"/>
        </w:rPr>
        <w:t>s</w:t>
      </w:r>
      <w:r w:rsidRPr="00034D13">
        <w:rPr>
          <w:rFonts w:cs="Times New Roman"/>
          <w:sz w:val="22"/>
          <w:szCs w:val="22"/>
        </w:rPr>
        <w:t xml:space="preserve"> and as a</w:t>
      </w:r>
      <w:r w:rsidR="00D148FF">
        <w:rPr>
          <w:rFonts w:cs="Times New Roman"/>
          <w:sz w:val="22"/>
          <w:szCs w:val="22"/>
        </w:rPr>
        <w:t xml:space="preserve"> consequence is poorly funded due to</w:t>
      </w:r>
      <w:r w:rsidRPr="00034D13">
        <w:rPr>
          <w:rFonts w:cs="Times New Roman"/>
          <w:sz w:val="22"/>
          <w:szCs w:val="22"/>
        </w:rPr>
        <w:t xml:space="preserve"> the needs driven funding system. </w:t>
      </w:r>
      <w:r w:rsidR="00D148FF">
        <w:rPr>
          <w:rFonts w:cs="Times New Roman"/>
          <w:sz w:val="22"/>
          <w:szCs w:val="22"/>
        </w:rPr>
        <w:t>Consequently</w:t>
      </w:r>
      <w:r w:rsidR="00CE6811">
        <w:rPr>
          <w:rFonts w:cs="Times New Roman"/>
          <w:sz w:val="22"/>
          <w:szCs w:val="22"/>
        </w:rPr>
        <w:t>,</w:t>
      </w:r>
      <w:r w:rsidR="00D148FF">
        <w:rPr>
          <w:rFonts w:cs="Times New Roman"/>
          <w:sz w:val="22"/>
          <w:szCs w:val="22"/>
        </w:rPr>
        <w:t xml:space="preserve"> budgets have limited flexibility.</w:t>
      </w:r>
    </w:p>
    <w:p w14:paraId="45C4AF38" w14:textId="27B1B515" w:rsidR="00D16794" w:rsidRPr="00034D13" w:rsidRDefault="00D16794" w:rsidP="00D16794">
      <w:pPr>
        <w:pStyle w:val="ListParagraph"/>
        <w:numPr>
          <w:ilvl w:val="0"/>
          <w:numId w:val="1"/>
        </w:numPr>
        <w:spacing w:before="100" w:beforeAutospacing="1" w:after="100" w:afterAutospacing="1"/>
        <w:rPr>
          <w:rFonts w:cs="Times New Roman"/>
          <w:sz w:val="22"/>
          <w:szCs w:val="22"/>
        </w:rPr>
      </w:pPr>
      <w:r w:rsidRPr="00034D13">
        <w:rPr>
          <w:rFonts w:cs="Times New Roman"/>
          <w:sz w:val="22"/>
          <w:szCs w:val="22"/>
        </w:rPr>
        <w:t xml:space="preserve">Teaching and learning is at the heart of everything we do and also the driver for </w:t>
      </w:r>
      <w:r w:rsidR="00D66F0D" w:rsidRPr="00034D13">
        <w:rPr>
          <w:rFonts w:cs="Times New Roman"/>
          <w:sz w:val="22"/>
          <w:szCs w:val="22"/>
        </w:rPr>
        <w:t>the growth plan.</w:t>
      </w:r>
    </w:p>
    <w:p w14:paraId="504C9FD4" w14:textId="68C90081" w:rsidR="001D39E2" w:rsidRPr="00034D13" w:rsidRDefault="001D39E2" w:rsidP="00D16794">
      <w:pPr>
        <w:pStyle w:val="ListParagraph"/>
        <w:numPr>
          <w:ilvl w:val="0"/>
          <w:numId w:val="1"/>
        </w:numPr>
        <w:spacing w:before="100" w:beforeAutospacing="1" w:after="100" w:afterAutospacing="1"/>
        <w:rPr>
          <w:rFonts w:cs="Times New Roman"/>
          <w:sz w:val="22"/>
          <w:szCs w:val="22"/>
        </w:rPr>
      </w:pPr>
      <w:r w:rsidRPr="00034D13">
        <w:rPr>
          <w:rFonts w:cs="Times New Roman"/>
          <w:sz w:val="22"/>
          <w:szCs w:val="22"/>
        </w:rPr>
        <w:t xml:space="preserve">Being part of a </w:t>
      </w:r>
      <w:r w:rsidR="00DE0FE0" w:rsidRPr="00034D13">
        <w:rPr>
          <w:rFonts w:cs="Times New Roman"/>
          <w:sz w:val="22"/>
          <w:szCs w:val="22"/>
        </w:rPr>
        <w:t>MAT reduces the ‘net’ financial uncertainty across the Trust</w:t>
      </w:r>
    </w:p>
    <w:p w14:paraId="2629DBB7" w14:textId="47B3396B" w:rsidR="001807D5" w:rsidRPr="001807D5" w:rsidRDefault="006F4866" w:rsidP="001807D5">
      <w:pPr>
        <w:spacing w:before="100" w:beforeAutospacing="1" w:after="100" w:afterAutospacing="1"/>
        <w:rPr>
          <w:rFonts w:cs="Times New Roman"/>
          <w:sz w:val="22"/>
          <w:szCs w:val="22"/>
        </w:rPr>
      </w:pPr>
      <w:r w:rsidRPr="00034D13">
        <w:rPr>
          <w:rFonts w:cs="Times New Roman"/>
          <w:sz w:val="22"/>
          <w:szCs w:val="22"/>
        </w:rPr>
        <w:t>Given our context our level of reserves will be low at the early stages of our growth</w:t>
      </w:r>
      <w:r w:rsidR="00374FE5" w:rsidRPr="00034D13">
        <w:rPr>
          <w:rFonts w:cs="Times New Roman"/>
          <w:sz w:val="22"/>
          <w:szCs w:val="22"/>
        </w:rPr>
        <w:t xml:space="preserve"> in order to maintain the required</w:t>
      </w:r>
      <w:r w:rsidR="00E6626D" w:rsidRPr="00034D13">
        <w:rPr>
          <w:rFonts w:cs="Times New Roman"/>
          <w:sz w:val="22"/>
          <w:szCs w:val="22"/>
        </w:rPr>
        <w:t xml:space="preserve"> level of outcomes in teaching and learning.</w:t>
      </w:r>
      <w:r w:rsidRPr="00034D13">
        <w:rPr>
          <w:rFonts w:cs="Times New Roman"/>
          <w:sz w:val="22"/>
          <w:szCs w:val="22"/>
        </w:rPr>
        <w:t xml:space="preserve"> </w:t>
      </w:r>
      <w:r w:rsidR="00FB18CA" w:rsidRPr="00034D13">
        <w:rPr>
          <w:rFonts w:cs="Times New Roman"/>
          <w:sz w:val="22"/>
          <w:szCs w:val="22"/>
        </w:rPr>
        <w:t xml:space="preserve"> </w:t>
      </w:r>
    </w:p>
    <w:p w14:paraId="1945465D" w14:textId="77777777" w:rsidR="00541FDB" w:rsidRDefault="00541FDB" w:rsidP="006424A6">
      <w:pPr>
        <w:spacing w:before="100" w:beforeAutospacing="1" w:after="100" w:afterAutospacing="1"/>
        <w:rPr>
          <w:rFonts w:cs="Times New Roman"/>
          <w:b/>
          <w:sz w:val="22"/>
          <w:szCs w:val="22"/>
        </w:rPr>
      </w:pPr>
    </w:p>
    <w:p w14:paraId="3ED597CF" w14:textId="196978EE" w:rsidR="006424A6" w:rsidRPr="001807D5" w:rsidRDefault="006424A6" w:rsidP="006424A6">
      <w:pPr>
        <w:spacing w:before="100" w:beforeAutospacing="1" w:after="100" w:afterAutospacing="1"/>
        <w:rPr>
          <w:rFonts w:cs="Times New Roman"/>
          <w:b/>
          <w:sz w:val="22"/>
          <w:szCs w:val="22"/>
        </w:rPr>
      </w:pPr>
      <w:r w:rsidRPr="001807D5">
        <w:rPr>
          <w:rFonts w:cs="Times New Roman"/>
          <w:b/>
          <w:sz w:val="22"/>
          <w:szCs w:val="22"/>
        </w:rPr>
        <w:lastRenderedPageBreak/>
        <w:t xml:space="preserve">Level of reserves </w:t>
      </w:r>
    </w:p>
    <w:p w14:paraId="2EDEB3FA" w14:textId="7BF9F239" w:rsidR="001807D5" w:rsidRPr="001807D5" w:rsidRDefault="00E6626D" w:rsidP="006424A6">
      <w:pPr>
        <w:spacing w:before="100" w:beforeAutospacing="1" w:after="100" w:afterAutospacing="1"/>
        <w:rPr>
          <w:rFonts w:cs="Times New Roman"/>
          <w:sz w:val="22"/>
          <w:szCs w:val="22"/>
        </w:rPr>
      </w:pPr>
      <w:r w:rsidRPr="00034D13">
        <w:rPr>
          <w:rFonts w:cs="Times New Roman"/>
          <w:sz w:val="22"/>
          <w:szCs w:val="22"/>
        </w:rPr>
        <w:t xml:space="preserve">The </w:t>
      </w:r>
      <w:r w:rsidR="006424A6" w:rsidRPr="00034D13">
        <w:rPr>
          <w:rFonts w:cs="Times New Roman"/>
          <w:sz w:val="22"/>
          <w:szCs w:val="22"/>
        </w:rPr>
        <w:t>Rutland Learning</w:t>
      </w:r>
      <w:r w:rsidR="006424A6" w:rsidRPr="001807D5">
        <w:rPr>
          <w:rFonts w:cs="Times New Roman"/>
          <w:sz w:val="22"/>
          <w:szCs w:val="22"/>
        </w:rPr>
        <w:t xml:space="preserve"> Trust has decided that the reserves level for </w:t>
      </w:r>
      <w:r w:rsidR="006424A6" w:rsidRPr="00034D13">
        <w:rPr>
          <w:rFonts w:cs="Times New Roman"/>
          <w:sz w:val="22"/>
          <w:szCs w:val="22"/>
        </w:rPr>
        <w:t>the finan</w:t>
      </w:r>
      <w:r w:rsidR="00CE6811">
        <w:rPr>
          <w:rFonts w:cs="Times New Roman"/>
          <w:sz w:val="22"/>
          <w:szCs w:val="22"/>
        </w:rPr>
        <w:t>cial year 2017/18</w:t>
      </w:r>
      <w:r w:rsidR="00883BEA">
        <w:rPr>
          <w:rFonts w:cs="Times New Roman"/>
          <w:sz w:val="22"/>
          <w:szCs w:val="22"/>
        </w:rPr>
        <w:t xml:space="preserve"> will be £180</w:t>
      </w:r>
      <w:r w:rsidR="006424A6" w:rsidRPr="001807D5">
        <w:rPr>
          <w:rFonts w:cs="Times New Roman"/>
          <w:sz w:val="22"/>
          <w:szCs w:val="22"/>
        </w:rPr>
        <w:t>,000 based on analysis of the points above. The level of reserve will be reviewed and set on an annual basis as p</w:t>
      </w:r>
      <w:r w:rsidR="006424A6" w:rsidRPr="00034D13">
        <w:rPr>
          <w:rFonts w:cs="Times New Roman"/>
          <w:sz w:val="22"/>
          <w:szCs w:val="22"/>
        </w:rPr>
        <w:t>art of the budget setting plan.</w:t>
      </w:r>
      <w:r w:rsidR="00374FE5" w:rsidRPr="00034D13">
        <w:rPr>
          <w:rFonts w:cs="Times New Roman"/>
          <w:sz w:val="22"/>
          <w:szCs w:val="22"/>
        </w:rPr>
        <w:t xml:space="preserve"> Over the next three years in line with the Trusts growth plan the level of reserves is planned to increase as the benefits of economies of scale and efficiencies savings are realised.</w:t>
      </w:r>
    </w:p>
    <w:p w14:paraId="30AB5603" w14:textId="5AA354BF" w:rsidR="001807D5" w:rsidRPr="001807D5" w:rsidRDefault="00565DD4" w:rsidP="001807D5">
      <w:pPr>
        <w:spacing w:before="100" w:beforeAutospacing="1" w:after="100" w:afterAutospacing="1"/>
        <w:rPr>
          <w:rFonts w:cs="Times New Roman"/>
          <w:b/>
          <w:sz w:val="22"/>
          <w:szCs w:val="22"/>
        </w:rPr>
      </w:pPr>
      <w:r w:rsidRPr="00034D13">
        <w:rPr>
          <w:rFonts w:cs="Times New Roman"/>
          <w:b/>
          <w:sz w:val="22"/>
          <w:szCs w:val="22"/>
        </w:rPr>
        <w:t>Reporting to Trustees</w:t>
      </w:r>
      <w:r w:rsidR="001807D5" w:rsidRPr="001807D5">
        <w:rPr>
          <w:rFonts w:cs="Times New Roman"/>
          <w:b/>
          <w:sz w:val="22"/>
          <w:szCs w:val="22"/>
        </w:rPr>
        <w:t xml:space="preserve"> </w:t>
      </w:r>
    </w:p>
    <w:p w14:paraId="5EE5650C" w14:textId="77777777" w:rsidR="00565DD4" w:rsidRPr="00034D13" w:rsidRDefault="00565DD4" w:rsidP="00565DD4">
      <w:pPr>
        <w:spacing w:before="100" w:beforeAutospacing="1" w:after="100" w:afterAutospacing="1"/>
        <w:rPr>
          <w:rFonts w:cs="Times New Roman"/>
          <w:sz w:val="22"/>
          <w:szCs w:val="22"/>
        </w:rPr>
      </w:pPr>
      <w:r w:rsidRPr="00034D13">
        <w:rPr>
          <w:rFonts w:cs="Times New Roman"/>
          <w:sz w:val="22"/>
          <w:szCs w:val="22"/>
        </w:rPr>
        <w:t>The reports will</w:t>
      </w:r>
      <w:r w:rsidR="001807D5" w:rsidRPr="00034D13">
        <w:rPr>
          <w:rFonts w:cs="Times New Roman"/>
          <w:sz w:val="22"/>
          <w:szCs w:val="22"/>
        </w:rPr>
        <w:t>:</w:t>
      </w:r>
      <w:r w:rsidRPr="00034D13">
        <w:rPr>
          <w:rFonts w:cs="Times New Roman"/>
          <w:sz w:val="22"/>
          <w:szCs w:val="22"/>
        </w:rPr>
        <w:t xml:space="preserve"> </w:t>
      </w:r>
    </w:p>
    <w:p w14:paraId="312113DF" w14:textId="50AB5439" w:rsidR="00565DD4" w:rsidRPr="00034D13" w:rsidRDefault="001807D5" w:rsidP="00565DD4">
      <w:pPr>
        <w:pStyle w:val="ListParagraph"/>
        <w:numPr>
          <w:ilvl w:val="0"/>
          <w:numId w:val="8"/>
        </w:numPr>
        <w:spacing w:before="100" w:beforeAutospacing="1" w:after="100" w:afterAutospacing="1"/>
        <w:rPr>
          <w:rFonts w:cs="Times New Roman"/>
          <w:sz w:val="22"/>
          <w:szCs w:val="22"/>
        </w:rPr>
      </w:pPr>
      <w:r w:rsidRPr="00034D13">
        <w:rPr>
          <w:rFonts w:cs="Times New Roman"/>
          <w:sz w:val="22"/>
          <w:szCs w:val="22"/>
        </w:rPr>
        <w:t>Compare the amount of reserves held with t</w:t>
      </w:r>
      <w:r w:rsidR="00565DD4" w:rsidRPr="00034D13">
        <w:rPr>
          <w:rFonts w:cs="Times New Roman"/>
          <w:sz w:val="22"/>
          <w:szCs w:val="22"/>
        </w:rPr>
        <w:t>he target amount set for reserves and e</w:t>
      </w:r>
      <w:r w:rsidRPr="00034D13">
        <w:rPr>
          <w:rFonts w:cs="Times New Roman"/>
          <w:sz w:val="22"/>
          <w:szCs w:val="22"/>
        </w:rPr>
        <w:t>xplain any shortfall or excess in reserves against target set</w:t>
      </w:r>
    </w:p>
    <w:p w14:paraId="380F82EA" w14:textId="5D041EF6" w:rsidR="001807D5" w:rsidRPr="00034D13" w:rsidRDefault="001807D5" w:rsidP="00565DD4">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 xml:space="preserve">Explain any action being taken or planned to bring reserves into line with target </w:t>
      </w:r>
    </w:p>
    <w:p w14:paraId="461E0BF8" w14:textId="516FED9D" w:rsidR="001807D5" w:rsidRPr="001807D5" w:rsidRDefault="001807D5" w:rsidP="001807D5">
      <w:pPr>
        <w:spacing w:before="100" w:beforeAutospacing="1" w:after="100" w:afterAutospacing="1"/>
        <w:rPr>
          <w:rFonts w:cs="Times New Roman"/>
          <w:b/>
          <w:sz w:val="22"/>
          <w:szCs w:val="22"/>
        </w:rPr>
      </w:pPr>
      <w:r w:rsidRPr="001807D5">
        <w:rPr>
          <w:rFonts w:cs="Times New Roman"/>
          <w:b/>
          <w:sz w:val="22"/>
          <w:szCs w:val="22"/>
        </w:rPr>
        <w:t xml:space="preserve">Annual financial statements </w:t>
      </w:r>
    </w:p>
    <w:p w14:paraId="49F20183" w14:textId="07075F01" w:rsidR="00565DD4" w:rsidRPr="00034D13" w:rsidRDefault="00565DD4" w:rsidP="001807D5">
      <w:pPr>
        <w:spacing w:before="100" w:beforeAutospacing="1" w:after="100" w:afterAutospacing="1"/>
        <w:rPr>
          <w:rFonts w:cs="Times New Roman"/>
          <w:sz w:val="22"/>
          <w:szCs w:val="22"/>
        </w:rPr>
      </w:pPr>
      <w:r w:rsidRPr="00034D13">
        <w:rPr>
          <w:rFonts w:cs="Times New Roman"/>
          <w:sz w:val="22"/>
          <w:szCs w:val="22"/>
        </w:rPr>
        <w:t>T</w:t>
      </w:r>
      <w:r w:rsidR="001807D5" w:rsidRPr="001807D5">
        <w:rPr>
          <w:rFonts w:cs="Times New Roman"/>
          <w:sz w:val="22"/>
          <w:szCs w:val="22"/>
        </w:rPr>
        <w:t>he res</w:t>
      </w:r>
      <w:r w:rsidR="00CE6811">
        <w:rPr>
          <w:rFonts w:cs="Times New Roman"/>
          <w:sz w:val="22"/>
          <w:szCs w:val="22"/>
        </w:rPr>
        <w:t>erves policy disclosed in the Tr</w:t>
      </w:r>
      <w:r w:rsidR="001807D5" w:rsidRPr="001807D5">
        <w:rPr>
          <w:rFonts w:cs="Times New Roman"/>
          <w:sz w:val="22"/>
          <w:szCs w:val="22"/>
        </w:rPr>
        <w:t xml:space="preserve">ustees report will include the following information: </w:t>
      </w:r>
    </w:p>
    <w:p w14:paraId="11DA3CA2" w14:textId="77777777" w:rsidR="00565DD4" w:rsidRPr="00034D13" w:rsidRDefault="001807D5" w:rsidP="00565DD4">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Why reserves are held</w:t>
      </w:r>
    </w:p>
    <w:p w14:paraId="05C32D33" w14:textId="376B1C46" w:rsidR="00565DD4" w:rsidRPr="00034D13" w:rsidRDefault="00565DD4" w:rsidP="00565DD4">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 xml:space="preserve">What amount </w:t>
      </w:r>
      <w:r w:rsidR="001807D5" w:rsidRPr="00034D13">
        <w:rPr>
          <w:rFonts w:cs="Times New Roman"/>
          <w:sz w:val="22"/>
          <w:szCs w:val="22"/>
        </w:rPr>
        <w:t>of reserves is considered appro</w:t>
      </w:r>
      <w:r w:rsidR="008908FF">
        <w:rPr>
          <w:rFonts w:cs="Times New Roman"/>
          <w:sz w:val="22"/>
          <w:szCs w:val="22"/>
        </w:rPr>
        <w:t>priate for the academy trust</w:t>
      </w:r>
    </w:p>
    <w:p w14:paraId="06A14AB0" w14:textId="77777777" w:rsidR="00565DD4" w:rsidRPr="00034D13" w:rsidRDefault="001807D5" w:rsidP="00565DD4">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What the level of reserves is at the year end</w:t>
      </w:r>
    </w:p>
    <w:p w14:paraId="419E1549" w14:textId="1E043C0C" w:rsidR="00565DD4" w:rsidRPr="00034D13" w:rsidRDefault="001807D5" w:rsidP="00565DD4">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 xml:space="preserve">How the academy trust is going to achieve the desired level or range of </w:t>
      </w:r>
      <w:r w:rsidR="008908FF" w:rsidRPr="00034D13">
        <w:rPr>
          <w:rFonts w:cs="Times New Roman"/>
          <w:sz w:val="22"/>
          <w:szCs w:val="22"/>
        </w:rPr>
        <w:t>reserves?</w:t>
      </w:r>
    </w:p>
    <w:p w14:paraId="26C25C29" w14:textId="77777777" w:rsidR="00565DD4" w:rsidRPr="00034D13" w:rsidRDefault="001807D5" w:rsidP="001807D5">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How often t</w:t>
      </w:r>
      <w:r w:rsidR="00565DD4" w:rsidRPr="00034D13">
        <w:rPr>
          <w:rFonts w:cs="Times New Roman"/>
          <w:sz w:val="22"/>
          <w:szCs w:val="22"/>
        </w:rPr>
        <w:t xml:space="preserve">he reserves policy is reviewed. </w:t>
      </w:r>
    </w:p>
    <w:p w14:paraId="5C495C8D" w14:textId="09566365" w:rsidR="001807D5" w:rsidRPr="00034D13" w:rsidRDefault="001807D5" w:rsidP="001807D5">
      <w:pPr>
        <w:pStyle w:val="ListParagraph"/>
        <w:numPr>
          <w:ilvl w:val="0"/>
          <w:numId w:val="6"/>
        </w:numPr>
        <w:spacing w:before="100" w:beforeAutospacing="1" w:after="100" w:afterAutospacing="1"/>
        <w:rPr>
          <w:rFonts w:cs="Times New Roman"/>
          <w:sz w:val="22"/>
          <w:szCs w:val="22"/>
        </w:rPr>
      </w:pPr>
      <w:r w:rsidRPr="00034D13">
        <w:rPr>
          <w:rFonts w:cs="Times New Roman"/>
          <w:sz w:val="22"/>
          <w:szCs w:val="22"/>
        </w:rPr>
        <w:t xml:space="preserve">Target range of reserves for the financial year </w:t>
      </w:r>
    </w:p>
    <w:p w14:paraId="2A32A8F6" w14:textId="06F6C05E" w:rsidR="001807D5" w:rsidRPr="001807D5" w:rsidRDefault="001807D5" w:rsidP="001807D5">
      <w:pPr>
        <w:spacing w:before="100" w:beforeAutospacing="1" w:after="100" w:afterAutospacing="1"/>
        <w:rPr>
          <w:rFonts w:cs="Times New Roman"/>
          <w:b/>
          <w:sz w:val="22"/>
          <w:szCs w:val="22"/>
        </w:rPr>
      </w:pPr>
      <w:r w:rsidRPr="001807D5">
        <w:rPr>
          <w:rFonts w:cs="Times New Roman"/>
          <w:b/>
          <w:sz w:val="22"/>
          <w:szCs w:val="22"/>
        </w:rPr>
        <w:t xml:space="preserve">Reviewing </w:t>
      </w:r>
    </w:p>
    <w:p w14:paraId="4E02B695" w14:textId="79012D1F" w:rsidR="00D148FF" w:rsidRDefault="001807D5" w:rsidP="00565DD4">
      <w:pPr>
        <w:spacing w:before="100" w:beforeAutospacing="1" w:after="100" w:afterAutospacing="1"/>
        <w:rPr>
          <w:rFonts w:cs="Times New Roman"/>
          <w:sz w:val="22"/>
          <w:szCs w:val="22"/>
        </w:rPr>
      </w:pPr>
      <w:r w:rsidRPr="001807D5">
        <w:rPr>
          <w:rFonts w:cs="Times New Roman"/>
          <w:sz w:val="22"/>
          <w:szCs w:val="22"/>
        </w:rPr>
        <w:t xml:space="preserve">The </w:t>
      </w:r>
      <w:r w:rsidR="00912A9E" w:rsidRPr="00034D13">
        <w:rPr>
          <w:rFonts w:cs="Times New Roman"/>
          <w:sz w:val="22"/>
          <w:szCs w:val="22"/>
        </w:rPr>
        <w:t>CFO</w:t>
      </w:r>
      <w:r w:rsidRPr="001807D5">
        <w:rPr>
          <w:rFonts w:cs="Times New Roman"/>
          <w:sz w:val="22"/>
          <w:szCs w:val="22"/>
        </w:rPr>
        <w:t xml:space="preserve"> and Trustees will carry out a review of this policy </w:t>
      </w:r>
      <w:r w:rsidR="008908FF">
        <w:rPr>
          <w:rFonts w:cs="Times New Roman"/>
          <w:sz w:val="22"/>
          <w:szCs w:val="22"/>
        </w:rPr>
        <w:t>annually</w:t>
      </w:r>
      <w:r w:rsidRPr="001807D5">
        <w:rPr>
          <w:rFonts w:cs="Times New Roman"/>
          <w:sz w:val="22"/>
          <w:szCs w:val="22"/>
        </w:rPr>
        <w:t xml:space="preserve"> to ensure </w:t>
      </w:r>
      <w:r w:rsidR="004D0A3A">
        <w:rPr>
          <w:rFonts w:cs="Times New Roman"/>
          <w:sz w:val="22"/>
          <w:szCs w:val="22"/>
        </w:rPr>
        <w:t xml:space="preserve">it reflects the RLT’s current situation and </w:t>
      </w:r>
      <w:r w:rsidRPr="001807D5">
        <w:rPr>
          <w:rFonts w:cs="Times New Roman"/>
          <w:sz w:val="22"/>
          <w:szCs w:val="22"/>
        </w:rPr>
        <w:t xml:space="preserve">that any new or changed legislation is adhered to. </w:t>
      </w:r>
    </w:p>
    <w:p w14:paraId="5281B621" w14:textId="602D87AD" w:rsidR="0030714C" w:rsidRDefault="001807D5" w:rsidP="00565DD4">
      <w:pPr>
        <w:spacing w:before="100" w:beforeAutospacing="1" w:after="100" w:afterAutospacing="1"/>
        <w:rPr>
          <w:rFonts w:cs="Times New Roman"/>
          <w:sz w:val="22"/>
          <w:szCs w:val="22"/>
        </w:rPr>
      </w:pPr>
      <w:r w:rsidRPr="001807D5">
        <w:rPr>
          <w:rFonts w:cs="Times New Roman"/>
          <w:sz w:val="22"/>
          <w:szCs w:val="22"/>
        </w:rPr>
        <w:t>Next</w:t>
      </w:r>
      <w:r w:rsidR="00D148FF">
        <w:rPr>
          <w:rFonts w:cs="Times New Roman"/>
          <w:sz w:val="22"/>
          <w:szCs w:val="22"/>
        </w:rPr>
        <w:t xml:space="preserve"> board of trustees</w:t>
      </w:r>
      <w:r w:rsidR="00912A9E" w:rsidRPr="00034D13">
        <w:rPr>
          <w:rFonts w:cs="Times New Roman"/>
          <w:sz w:val="22"/>
          <w:szCs w:val="22"/>
        </w:rPr>
        <w:t xml:space="preserve"> review </w:t>
      </w:r>
      <w:r w:rsidR="000F3D54">
        <w:rPr>
          <w:rFonts w:cs="Times New Roman"/>
          <w:sz w:val="22"/>
          <w:szCs w:val="22"/>
        </w:rPr>
        <w:t>due: March</w:t>
      </w:r>
      <w:r w:rsidR="00B47478">
        <w:rPr>
          <w:rFonts w:cs="Times New Roman"/>
          <w:sz w:val="22"/>
          <w:szCs w:val="22"/>
        </w:rPr>
        <w:t xml:space="preserve"> 2019</w:t>
      </w:r>
      <w:bookmarkStart w:id="0" w:name="_GoBack"/>
      <w:bookmarkEnd w:id="0"/>
      <w:r w:rsidR="0030714C">
        <w:rPr>
          <w:rFonts w:cs="Times New Roman"/>
          <w:sz w:val="22"/>
          <w:szCs w:val="22"/>
        </w:rPr>
        <w:t>.</w:t>
      </w:r>
    </w:p>
    <w:p w14:paraId="5C08CB65" w14:textId="77777777" w:rsidR="00541FDB" w:rsidRDefault="00541FDB" w:rsidP="00565DD4">
      <w:pPr>
        <w:spacing w:before="100" w:beforeAutospacing="1" w:after="100" w:afterAutospacing="1"/>
        <w:rPr>
          <w:rFonts w:cs="Times New Roman"/>
          <w:sz w:val="22"/>
          <w:szCs w:val="22"/>
        </w:rPr>
      </w:pPr>
    </w:p>
    <w:p w14:paraId="586FD90D" w14:textId="23BA261E" w:rsidR="00541FDB" w:rsidRPr="001807D5" w:rsidRDefault="00541FDB" w:rsidP="00541FDB">
      <w:pPr>
        <w:spacing w:before="100" w:beforeAutospacing="1" w:after="100" w:afterAutospacing="1"/>
        <w:rPr>
          <w:rFonts w:cs="Times New Roman"/>
          <w:sz w:val="22"/>
          <w:szCs w:val="22"/>
        </w:rPr>
      </w:pPr>
      <w:r w:rsidRPr="001807D5">
        <w:rPr>
          <w:rFonts w:cs="Times New Roman"/>
          <w:sz w:val="22"/>
          <w:szCs w:val="22"/>
        </w:rPr>
        <w:t xml:space="preserve">Date: </w:t>
      </w:r>
      <w:r w:rsidR="000F3D54">
        <w:rPr>
          <w:rFonts w:cs="Times New Roman"/>
          <w:sz w:val="22"/>
          <w:szCs w:val="22"/>
        </w:rPr>
        <w:t>29/3</w:t>
      </w:r>
      <w:r w:rsidR="00CE6811">
        <w:rPr>
          <w:rFonts w:cs="Times New Roman"/>
          <w:sz w:val="22"/>
          <w:szCs w:val="22"/>
        </w:rPr>
        <w:t>/18</w:t>
      </w:r>
      <w:r w:rsidRPr="001807D5">
        <w:rPr>
          <w:rFonts w:cs="Times New Roman"/>
          <w:sz w:val="22"/>
          <w:szCs w:val="22"/>
        </w:rPr>
        <w:t xml:space="preserve"> </w:t>
      </w:r>
    </w:p>
    <w:p w14:paraId="64900FDE" w14:textId="5534F2E5" w:rsidR="00B24E15" w:rsidRPr="00034D13" w:rsidRDefault="001807D5" w:rsidP="00565DD4">
      <w:pPr>
        <w:spacing w:before="100" w:beforeAutospacing="1" w:after="100" w:afterAutospacing="1"/>
        <w:rPr>
          <w:rFonts w:cs="Times New Roman"/>
          <w:sz w:val="22"/>
          <w:szCs w:val="22"/>
        </w:rPr>
      </w:pPr>
      <w:r w:rsidRPr="001807D5">
        <w:rPr>
          <w:rFonts w:cs="Times New Roman"/>
          <w:sz w:val="22"/>
          <w:szCs w:val="22"/>
        </w:rPr>
        <w:t xml:space="preserve"> </w:t>
      </w:r>
    </w:p>
    <w:sectPr w:rsidR="00B24E15" w:rsidRPr="00034D13" w:rsidSect="007B4C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6EFC" w14:textId="77777777" w:rsidR="00AF6DE1" w:rsidRDefault="00AF6DE1" w:rsidP="00034D13">
      <w:r>
        <w:separator/>
      </w:r>
    </w:p>
  </w:endnote>
  <w:endnote w:type="continuationSeparator" w:id="0">
    <w:p w14:paraId="7BB4B65B" w14:textId="77777777" w:rsidR="00AF6DE1" w:rsidRDefault="00AF6DE1" w:rsidP="0003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charset w:val="00"/>
    <w:family w:val="auto"/>
    <w:pitch w:val="variable"/>
    <w:sig w:usb0="800000AF" w:usb1="5000204A" w:usb2="00000000" w:usb3="00000000" w:csb0="0000009B"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C7A2" w14:textId="77777777" w:rsidR="00AF6DE1" w:rsidRDefault="00AF6DE1" w:rsidP="00034D13">
      <w:r>
        <w:separator/>
      </w:r>
    </w:p>
  </w:footnote>
  <w:footnote w:type="continuationSeparator" w:id="0">
    <w:p w14:paraId="4A3A2969" w14:textId="77777777" w:rsidR="00AF6DE1" w:rsidRDefault="00AF6DE1" w:rsidP="00034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2DB"/>
    <w:multiLevelType w:val="hybridMultilevel"/>
    <w:tmpl w:val="3A4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6D57"/>
    <w:multiLevelType w:val="hybridMultilevel"/>
    <w:tmpl w:val="E01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49B3"/>
    <w:multiLevelType w:val="hybridMultilevel"/>
    <w:tmpl w:val="83D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84586"/>
    <w:multiLevelType w:val="hybridMultilevel"/>
    <w:tmpl w:val="B7A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E3CC7"/>
    <w:multiLevelType w:val="hybridMultilevel"/>
    <w:tmpl w:val="C75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F4A65"/>
    <w:multiLevelType w:val="hybridMultilevel"/>
    <w:tmpl w:val="E862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2C0470"/>
    <w:multiLevelType w:val="hybridMultilevel"/>
    <w:tmpl w:val="EC78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C4C3A"/>
    <w:multiLevelType w:val="hybridMultilevel"/>
    <w:tmpl w:val="33F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5"/>
    <w:rsid w:val="00034D13"/>
    <w:rsid w:val="00076623"/>
    <w:rsid w:val="00094057"/>
    <w:rsid w:val="000D5411"/>
    <w:rsid w:val="000F3D54"/>
    <w:rsid w:val="001663F4"/>
    <w:rsid w:val="001807D5"/>
    <w:rsid w:val="001B0F88"/>
    <w:rsid w:val="001B467B"/>
    <w:rsid w:val="001C1D0A"/>
    <w:rsid w:val="001D39E2"/>
    <w:rsid w:val="001F62B9"/>
    <w:rsid w:val="00297820"/>
    <w:rsid w:val="002C66AA"/>
    <w:rsid w:val="002F032B"/>
    <w:rsid w:val="0030714C"/>
    <w:rsid w:val="00337C61"/>
    <w:rsid w:val="00353612"/>
    <w:rsid w:val="00357CCB"/>
    <w:rsid w:val="00374FE5"/>
    <w:rsid w:val="003919DD"/>
    <w:rsid w:val="003B1E5A"/>
    <w:rsid w:val="00427579"/>
    <w:rsid w:val="00480920"/>
    <w:rsid w:val="004D0A3A"/>
    <w:rsid w:val="005251DC"/>
    <w:rsid w:val="00541FDB"/>
    <w:rsid w:val="00565DD4"/>
    <w:rsid w:val="0057040B"/>
    <w:rsid w:val="0057272B"/>
    <w:rsid w:val="006424A6"/>
    <w:rsid w:val="006F4866"/>
    <w:rsid w:val="00702794"/>
    <w:rsid w:val="00734AD8"/>
    <w:rsid w:val="007B4CD7"/>
    <w:rsid w:val="007E5E3B"/>
    <w:rsid w:val="008455B3"/>
    <w:rsid w:val="00883BEA"/>
    <w:rsid w:val="008908FF"/>
    <w:rsid w:val="00912A9E"/>
    <w:rsid w:val="00AF6DE1"/>
    <w:rsid w:val="00B2098A"/>
    <w:rsid w:val="00B47478"/>
    <w:rsid w:val="00B9564B"/>
    <w:rsid w:val="00BF5900"/>
    <w:rsid w:val="00CC34B5"/>
    <w:rsid w:val="00CE6811"/>
    <w:rsid w:val="00D148FF"/>
    <w:rsid w:val="00D16794"/>
    <w:rsid w:val="00D23220"/>
    <w:rsid w:val="00D303AC"/>
    <w:rsid w:val="00D35221"/>
    <w:rsid w:val="00D4435A"/>
    <w:rsid w:val="00D66F0D"/>
    <w:rsid w:val="00D709B4"/>
    <w:rsid w:val="00D72CE9"/>
    <w:rsid w:val="00DE0FE0"/>
    <w:rsid w:val="00E540DE"/>
    <w:rsid w:val="00E6626D"/>
    <w:rsid w:val="00F470FC"/>
    <w:rsid w:val="00F75831"/>
    <w:rsid w:val="00FA0F33"/>
    <w:rsid w:val="00FB0A0A"/>
    <w:rsid w:val="00FB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CE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7D5"/>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D16794"/>
    <w:pPr>
      <w:ind w:left="720"/>
      <w:contextualSpacing/>
    </w:pPr>
  </w:style>
  <w:style w:type="character" w:customStyle="1" w:styleId="ListParagraphChar">
    <w:name w:val="List Paragraph Char"/>
    <w:basedOn w:val="DefaultParagraphFont"/>
    <w:link w:val="ListParagraph"/>
    <w:uiPriority w:val="34"/>
    <w:rsid w:val="00297820"/>
    <w:rPr>
      <w:lang w:val="en-GB"/>
    </w:rPr>
  </w:style>
  <w:style w:type="paragraph" w:styleId="Header">
    <w:name w:val="header"/>
    <w:basedOn w:val="Normal"/>
    <w:link w:val="HeaderChar"/>
    <w:uiPriority w:val="99"/>
    <w:unhideWhenUsed/>
    <w:rsid w:val="00034D13"/>
    <w:pPr>
      <w:tabs>
        <w:tab w:val="center" w:pos="4513"/>
        <w:tab w:val="right" w:pos="9026"/>
      </w:tabs>
    </w:pPr>
  </w:style>
  <w:style w:type="character" w:customStyle="1" w:styleId="HeaderChar">
    <w:name w:val="Header Char"/>
    <w:basedOn w:val="DefaultParagraphFont"/>
    <w:link w:val="Header"/>
    <w:uiPriority w:val="99"/>
    <w:rsid w:val="00034D13"/>
    <w:rPr>
      <w:lang w:val="en-GB"/>
    </w:rPr>
  </w:style>
  <w:style w:type="paragraph" w:styleId="Footer">
    <w:name w:val="footer"/>
    <w:basedOn w:val="Normal"/>
    <w:link w:val="FooterChar"/>
    <w:uiPriority w:val="99"/>
    <w:unhideWhenUsed/>
    <w:rsid w:val="00034D13"/>
    <w:pPr>
      <w:tabs>
        <w:tab w:val="center" w:pos="4513"/>
        <w:tab w:val="right" w:pos="9026"/>
      </w:tabs>
    </w:pPr>
  </w:style>
  <w:style w:type="character" w:customStyle="1" w:styleId="FooterChar">
    <w:name w:val="Footer Char"/>
    <w:basedOn w:val="DefaultParagraphFont"/>
    <w:link w:val="Footer"/>
    <w:uiPriority w:val="99"/>
    <w:rsid w:val="00034D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677">
      <w:bodyDiv w:val="1"/>
      <w:marLeft w:val="0"/>
      <w:marRight w:val="0"/>
      <w:marTop w:val="0"/>
      <w:marBottom w:val="0"/>
      <w:divBdr>
        <w:top w:val="none" w:sz="0" w:space="0" w:color="auto"/>
        <w:left w:val="none" w:sz="0" w:space="0" w:color="auto"/>
        <w:bottom w:val="none" w:sz="0" w:space="0" w:color="auto"/>
        <w:right w:val="none" w:sz="0" w:space="0" w:color="auto"/>
      </w:divBdr>
    </w:div>
    <w:div w:id="807212245">
      <w:bodyDiv w:val="1"/>
      <w:marLeft w:val="0"/>
      <w:marRight w:val="0"/>
      <w:marTop w:val="0"/>
      <w:marBottom w:val="0"/>
      <w:divBdr>
        <w:top w:val="none" w:sz="0" w:space="0" w:color="auto"/>
        <w:left w:val="none" w:sz="0" w:space="0" w:color="auto"/>
        <w:bottom w:val="none" w:sz="0" w:space="0" w:color="auto"/>
        <w:right w:val="none" w:sz="0" w:space="0" w:color="auto"/>
      </w:divBdr>
      <w:divsChild>
        <w:div w:id="424110891">
          <w:marLeft w:val="0"/>
          <w:marRight w:val="0"/>
          <w:marTop w:val="0"/>
          <w:marBottom w:val="0"/>
          <w:divBdr>
            <w:top w:val="none" w:sz="0" w:space="0" w:color="auto"/>
            <w:left w:val="none" w:sz="0" w:space="0" w:color="auto"/>
            <w:bottom w:val="none" w:sz="0" w:space="0" w:color="auto"/>
            <w:right w:val="none" w:sz="0" w:space="0" w:color="auto"/>
          </w:divBdr>
          <w:divsChild>
            <w:div w:id="1999381264">
              <w:marLeft w:val="0"/>
              <w:marRight w:val="0"/>
              <w:marTop w:val="0"/>
              <w:marBottom w:val="0"/>
              <w:divBdr>
                <w:top w:val="none" w:sz="0" w:space="0" w:color="auto"/>
                <w:left w:val="none" w:sz="0" w:space="0" w:color="auto"/>
                <w:bottom w:val="none" w:sz="0" w:space="0" w:color="auto"/>
                <w:right w:val="none" w:sz="0" w:space="0" w:color="auto"/>
              </w:divBdr>
              <w:divsChild>
                <w:div w:id="1250501007">
                  <w:marLeft w:val="0"/>
                  <w:marRight w:val="0"/>
                  <w:marTop w:val="0"/>
                  <w:marBottom w:val="0"/>
                  <w:divBdr>
                    <w:top w:val="none" w:sz="0" w:space="0" w:color="auto"/>
                    <w:left w:val="none" w:sz="0" w:space="0" w:color="auto"/>
                    <w:bottom w:val="none" w:sz="0" w:space="0" w:color="auto"/>
                    <w:right w:val="none" w:sz="0" w:space="0" w:color="auto"/>
                  </w:divBdr>
                </w:div>
              </w:divsChild>
            </w:div>
            <w:div w:id="113643186">
              <w:marLeft w:val="0"/>
              <w:marRight w:val="0"/>
              <w:marTop w:val="0"/>
              <w:marBottom w:val="0"/>
              <w:divBdr>
                <w:top w:val="none" w:sz="0" w:space="0" w:color="auto"/>
                <w:left w:val="none" w:sz="0" w:space="0" w:color="auto"/>
                <w:bottom w:val="none" w:sz="0" w:space="0" w:color="auto"/>
                <w:right w:val="none" w:sz="0" w:space="0" w:color="auto"/>
              </w:divBdr>
              <w:divsChild>
                <w:div w:id="1733387695">
                  <w:marLeft w:val="0"/>
                  <w:marRight w:val="0"/>
                  <w:marTop w:val="0"/>
                  <w:marBottom w:val="0"/>
                  <w:divBdr>
                    <w:top w:val="none" w:sz="0" w:space="0" w:color="auto"/>
                    <w:left w:val="none" w:sz="0" w:space="0" w:color="auto"/>
                    <w:bottom w:val="none" w:sz="0" w:space="0" w:color="auto"/>
                    <w:right w:val="none" w:sz="0" w:space="0" w:color="auto"/>
                  </w:divBdr>
                  <w:divsChild>
                    <w:div w:id="924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7068">
              <w:marLeft w:val="0"/>
              <w:marRight w:val="0"/>
              <w:marTop w:val="0"/>
              <w:marBottom w:val="0"/>
              <w:divBdr>
                <w:top w:val="none" w:sz="0" w:space="0" w:color="auto"/>
                <w:left w:val="none" w:sz="0" w:space="0" w:color="auto"/>
                <w:bottom w:val="none" w:sz="0" w:space="0" w:color="auto"/>
                <w:right w:val="none" w:sz="0" w:space="0" w:color="auto"/>
              </w:divBdr>
              <w:divsChild>
                <w:div w:id="15808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162">
          <w:marLeft w:val="0"/>
          <w:marRight w:val="0"/>
          <w:marTop w:val="0"/>
          <w:marBottom w:val="0"/>
          <w:divBdr>
            <w:top w:val="none" w:sz="0" w:space="0" w:color="auto"/>
            <w:left w:val="none" w:sz="0" w:space="0" w:color="auto"/>
            <w:bottom w:val="none" w:sz="0" w:space="0" w:color="auto"/>
            <w:right w:val="none" w:sz="0" w:space="0" w:color="auto"/>
          </w:divBdr>
          <w:divsChild>
            <w:div w:id="1025180459">
              <w:marLeft w:val="0"/>
              <w:marRight w:val="0"/>
              <w:marTop w:val="0"/>
              <w:marBottom w:val="0"/>
              <w:divBdr>
                <w:top w:val="none" w:sz="0" w:space="0" w:color="auto"/>
                <w:left w:val="none" w:sz="0" w:space="0" w:color="auto"/>
                <w:bottom w:val="none" w:sz="0" w:space="0" w:color="auto"/>
                <w:right w:val="none" w:sz="0" w:space="0" w:color="auto"/>
              </w:divBdr>
              <w:divsChild>
                <w:div w:id="1923174644">
                  <w:marLeft w:val="0"/>
                  <w:marRight w:val="0"/>
                  <w:marTop w:val="0"/>
                  <w:marBottom w:val="0"/>
                  <w:divBdr>
                    <w:top w:val="none" w:sz="0" w:space="0" w:color="auto"/>
                    <w:left w:val="none" w:sz="0" w:space="0" w:color="auto"/>
                    <w:bottom w:val="none" w:sz="0" w:space="0" w:color="auto"/>
                    <w:right w:val="none" w:sz="0" w:space="0" w:color="auto"/>
                  </w:divBdr>
                </w:div>
              </w:divsChild>
            </w:div>
            <w:div w:id="1994947903">
              <w:marLeft w:val="0"/>
              <w:marRight w:val="0"/>
              <w:marTop w:val="0"/>
              <w:marBottom w:val="0"/>
              <w:divBdr>
                <w:top w:val="none" w:sz="0" w:space="0" w:color="auto"/>
                <w:left w:val="none" w:sz="0" w:space="0" w:color="auto"/>
                <w:bottom w:val="none" w:sz="0" w:space="0" w:color="auto"/>
                <w:right w:val="none" w:sz="0" w:space="0" w:color="auto"/>
              </w:divBdr>
              <w:divsChild>
                <w:div w:id="272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4670">
          <w:marLeft w:val="0"/>
          <w:marRight w:val="0"/>
          <w:marTop w:val="0"/>
          <w:marBottom w:val="0"/>
          <w:divBdr>
            <w:top w:val="none" w:sz="0" w:space="0" w:color="auto"/>
            <w:left w:val="none" w:sz="0" w:space="0" w:color="auto"/>
            <w:bottom w:val="none" w:sz="0" w:space="0" w:color="auto"/>
            <w:right w:val="none" w:sz="0" w:space="0" w:color="auto"/>
          </w:divBdr>
          <w:divsChild>
            <w:div w:id="1231964993">
              <w:marLeft w:val="0"/>
              <w:marRight w:val="0"/>
              <w:marTop w:val="0"/>
              <w:marBottom w:val="0"/>
              <w:divBdr>
                <w:top w:val="none" w:sz="0" w:space="0" w:color="auto"/>
                <w:left w:val="none" w:sz="0" w:space="0" w:color="auto"/>
                <w:bottom w:val="none" w:sz="0" w:space="0" w:color="auto"/>
                <w:right w:val="none" w:sz="0" w:space="0" w:color="auto"/>
              </w:divBdr>
              <w:divsChild>
                <w:div w:id="940913826">
                  <w:marLeft w:val="0"/>
                  <w:marRight w:val="0"/>
                  <w:marTop w:val="0"/>
                  <w:marBottom w:val="0"/>
                  <w:divBdr>
                    <w:top w:val="none" w:sz="0" w:space="0" w:color="auto"/>
                    <w:left w:val="none" w:sz="0" w:space="0" w:color="auto"/>
                    <w:bottom w:val="none" w:sz="0" w:space="0" w:color="auto"/>
                    <w:right w:val="none" w:sz="0" w:space="0" w:color="auto"/>
                  </w:divBdr>
                </w:div>
              </w:divsChild>
            </w:div>
            <w:div w:id="1978993799">
              <w:marLeft w:val="0"/>
              <w:marRight w:val="0"/>
              <w:marTop w:val="0"/>
              <w:marBottom w:val="0"/>
              <w:divBdr>
                <w:top w:val="none" w:sz="0" w:space="0" w:color="auto"/>
                <w:left w:val="none" w:sz="0" w:space="0" w:color="auto"/>
                <w:bottom w:val="none" w:sz="0" w:space="0" w:color="auto"/>
                <w:right w:val="none" w:sz="0" w:space="0" w:color="auto"/>
              </w:divBdr>
              <w:divsChild>
                <w:div w:id="743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486">
          <w:marLeft w:val="0"/>
          <w:marRight w:val="0"/>
          <w:marTop w:val="0"/>
          <w:marBottom w:val="0"/>
          <w:divBdr>
            <w:top w:val="none" w:sz="0" w:space="0" w:color="auto"/>
            <w:left w:val="none" w:sz="0" w:space="0" w:color="auto"/>
            <w:bottom w:val="none" w:sz="0" w:space="0" w:color="auto"/>
            <w:right w:val="none" w:sz="0" w:space="0" w:color="auto"/>
          </w:divBdr>
          <w:divsChild>
            <w:div w:id="826867916">
              <w:marLeft w:val="0"/>
              <w:marRight w:val="0"/>
              <w:marTop w:val="0"/>
              <w:marBottom w:val="0"/>
              <w:divBdr>
                <w:top w:val="none" w:sz="0" w:space="0" w:color="auto"/>
                <w:left w:val="none" w:sz="0" w:space="0" w:color="auto"/>
                <w:bottom w:val="none" w:sz="0" w:space="0" w:color="auto"/>
                <w:right w:val="none" w:sz="0" w:space="0" w:color="auto"/>
              </w:divBdr>
              <w:divsChild>
                <w:div w:id="485513600">
                  <w:marLeft w:val="0"/>
                  <w:marRight w:val="0"/>
                  <w:marTop w:val="0"/>
                  <w:marBottom w:val="0"/>
                  <w:divBdr>
                    <w:top w:val="none" w:sz="0" w:space="0" w:color="auto"/>
                    <w:left w:val="none" w:sz="0" w:space="0" w:color="auto"/>
                    <w:bottom w:val="none" w:sz="0" w:space="0" w:color="auto"/>
                    <w:right w:val="none" w:sz="0" w:space="0" w:color="auto"/>
                  </w:divBdr>
                </w:div>
              </w:divsChild>
            </w:div>
            <w:div w:id="2089301169">
              <w:marLeft w:val="0"/>
              <w:marRight w:val="0"/>
              <w:marTop w:val="0"/>
              <w:marBottom w:val="0"/>
              <w:divBdr>
                <w:top w:val="none" w:sz="0" w:space="0" w:color="auto"/>
                <w:left w:val="none" w:sz="0" w:space="0" w:color="auto"/>
                <w:bottom w:val="none" w:sz="0" w:space="0" w:color="auto"/>
                <w:right w:val="none" w:sz="0" w:space="0" w:color="auto"/>
              </w:divBdr>
              <w:divsChild>
                <w:div w:id="470948225">
                  <w:marLeft w:val="0"/>
                  <w:marRight w:val="0"/>
                  <w:marTop w:val="0"/>
                  <w:marBottom w:val="0"/>
                  <w:divBdr>
                    <w:top w:val="none" w:sz="0" w:space="0" w:color="auto"/>
                    <w:left w:val="none" w:sz="0" w:space="0" w:color="auto"/>
                    <w:bottom w:val="none" w:sz="0" w:space="0" w:color="auto"/>
                    <w:right w:val="none" w:sz="0" w:space="0" w:color="auto"/>
                  </w:divBdr>
                </w:div>
              </w:divsChild>
            </w:div>
            <w:div w:id="2040012862">
              <w:marLeft w:val="0"/>
              <w:marRight w:val="0"/>
              <w:marTop w:val="0"/>
              <w:marBottom w:val="0"/>
              <w:divBdr>
                <w:top w:val="none" w:sz="0" w:space="0" w:color="auto"/>
                <w:left w:val="none" w:sz="0" w:space="0" w:color="auto"/>
                <w:bottom w:val="none" w:sz="0" w:space="0" w:color="auto"/>
                <w:right w:val="none" w:sz="0" w:space="0" w:color="auto"/>
              </w:divBdr>
              <w:divsChild>
                <w:div w:id="119498038">
                  <w:marLeft w:val="0"/>
                  <w:marRight w:val="0"/>
                  <w:marTop w:val="0"/>
                  <w:marBottom w:val="0"/>
                  <w:divBdr>
                    <w:top w:val="none" w:sz="0" w:space="0" w:color="auto"/>
                    <w:left w:val="none" w:sz="0" w:space="0" w:color="auto"/>
                    <w:bottom w:val="none" w:sz="0" w:space="0" w:color="auto"/>
                    <w:right w:val="none" w:sz="0" w:space="0" w:color="auto"/>
                  </w:divBdr>
                </w:div>
              </w:divsChild>
            </w:div>
            <w:div w:id="1026053630">
              <w:marLeft w:val="0"/>
              <w:marRight w:val="0"/>
              <w:marTop w:val="0"/>
              <w:marBottom w:val="0"/>
              <w:divBdr>
                <w:top w:val="none" w:sz="0" w:space="0" w:color="auto"/>
                <w:left w:val="none" w:sz="0" w:space="0" w:color="auto"/>
                <w:bottom w:val="none" w:sz="0" w:space="0" w:color="auto"/>
                <w:right w:val="none" w:sz="0" w:space="0" w:color="auto"/>
              </w:divBdr>
              <w:divsChild>
                <w:div w:id="137306956">
                  <w:marLeft w:val="0"/>
                  <w:marRight w:val="0"/>
                  <w:marTop w:val="0"/>
                  <w:marBottom w:val="0"/>
                  <w:divBdr>
                    <w:top w:val="none" w:sz="0" w:space="0" w:color="auto"/>
                    <w:left w:val="none" w:sz="0" w:space="0" w:color="auto"/>
                    <w:bottom w:val="none" w:sz="0" w:space="0" w:color="auto"/>
                    <w:right w:val="none" w:sz="0" w:space="0" w:color="auto"/>
                  </w:divBdr>
                </w:div>
              </w:divsChild>
            </w:div>
            <w:div w:id="848787269">
              <w:marLeft w:val="0"/>
              <w:marRight w:val="0"/>
              <w:marTop w:val="0"/>
              <w:marBottom w:val="0"/>
              <w:divBdr>
                <w:top w:val="none" w:sz="0" w:space="0" w:color="auto"/>
                <w:left w:val="none" w:sz="0" w:space="0" w:color="auto"/>
                <w:bottom w:val="none" w:sz="0" w:space="0" w:color="auto"/>
                <w:right w:val="none" w:sz="0" w:space="0" w:color="auto"/>
              </w:divBdr>
              <w:divsChild>
                <w:div w:id="81027497">
                  <w:marLeft w:val="0"/>
                  <w:marRight w:val="0"/>
                  <w:marTop w:val="0"/>
                  <w:marBottom w:val="0"/>
                  <w:divBdr>
                    <w:top w:val="none" w:sz="0" w:space="0" w:color="auto"/>
                    <w:left w:val="none" w:sz="0" w:space="0" w:color="auto"/>
                    <w:bottom w:val="none" w:sz="0" w:space="0" w:color="auto"/>
                    <w:right w:val="none" w:sz="0" w:space="0" w:color="auto"/>
                  </w:divBdr>
                </w:div>
              </w:divsChild>
            </w:div>
            <w:div w:id="1981224157">
              <w:marLeft w:val="0"/>
              <w:marRight w:val="0"/>
              <w:marTop w:val="0"/>
              <w:marBottom w:val="0"/>
              <w:divBdr>
                <w:top w:val="none" w:sz="0" w:space="0" w:color="auto"/>
                <w:left w:val="none" w:sz="0" w:space="0" w:color="auto"/>
                <w:bottom w:val="none" w:sz="0" w:space="0" w:color="auto"/>
                <w:right w:val="none" w:sz="0" w:space="0" w:color="auto"/>
              </w:divBdr>
              <w:divsChild>
                <w:div w:id="1230724286">
                  <w:marLeft w:val="0"/>
                  <w:marRight w:val="0"/>
                  <w:marTop w:val="0"/>
                  <w:marBottom w:val="0"/>
                  <w:divBdr>
                    <w:top w:val="none" w:sz="0" w:space="0" w:color="auto"/>
                    <w:left w:val="none" w:sz="0" w:space="0" w:color="auto"/>
                    <w:bottom w:val="none" w:sz="0" w:space="0" w:color="auto"/>
                    <w:right w:val="none" w:sz="0" w:space="0" w:color="auto"/>
                  </w:divBdr>
                </w:div>
              </w:divsChild>
            </w:div>
            <w:div w:id="373425394">
              <w:marLeft w:val="0"/>
              <w:marRight w:val="0"/>
              <w:marTop w:val="0"/>
              <w:marBottom w:val="0"/>
              <w:divBdr>
                <w:top w:val="none" w:sz="0" w:space="0" w:color="auto"/>
                <w:left w:val="none" w:sz="0" w:space="0" w:color="auto"/>
                <w:bottom w:val="none" w:sz="0" w:space="0" w:color="auto"/>
                <w:right w:val="none" w:sz="0" w:space="0" w:color="auto"/>
              </w:divBdr>
              <w:divsChild>
                <w:div w:id="2113472550">
                  <w:marLeft w:val="0"/>
                  <w:marRight w:val="0"/>
                  <w:marTop w:val="0"/>
                  <w:marBottom w:val="0"/>
                  <w:divBdr>
                    <w:top w:val="none" w:sz="0" w:space="0" w:color="auto"/>
                    <w:left w:val="none" w:sz="0" w:space="0" w:color="auto"/>
                    <w:bottom w:val="none" w:sz="0" w:space="0" w:color="auto"/>
                    <w:right w:val="none" w:sz="0" w:space="0" w:color="auto"/>
                  </w:divBdr>
                </w:div>
              </w:divsChild>
            </w:div>
            <w:div w:id="1209561636">
              <w:marLeft w:val="0"/>
              <w:marRight w:val="0"/>
              <w:marTop w:val="0"/>
              <w:marBottom w:val="0"/>
              <w:divBdr>
                <w:top w:val="none" w:sz="0" w:space="0" w:color="auto"/>
                <w:left w:val="none" w:sz="0" w:space="0" w:color="auto"/>
                <w:bottom w:val="none" w:sz="0" w:space="0" w:color="auto"/>
                <w:right w:val="none" w:sz="0" w:space="0" w:color="auto"/>
              </w:divBdr>
              <w:divsChild>
                <w:div w:id="1377730090">
                  <w:marLeft w:val="0"/>
                  <w:marRight w:val="0"/>
                  <w:marTop w:val="0"/>
                  <w:marBottom w:val="0"/>
                  <w:divBdr>
                    <w:top w:val="none" w:sz="0" w:space="0" w:color="auto"/>
                    <w:left w:val="none" w:sz="0" w:space="0" w:color="auto"/>
                    <w:bottom w:val="none" w:sz="0" w:space="0" w:color="auto"/>
                    <w:right w:val="none" w:sz="0" w:space="0" w:color="auto"/>
                  </w:divBdr>
                </w:div>
              </w:divsChild>
            </w:div>
            <w:div w:id="2006778231">
              <w:marLeft w:val="0"/>
              <w:marRight w:val="0"/>
              <w:marTop w:val="0"/>
              <w:marBottom w:val="0"/>
              <w:divBdr>
                <w:top w:val="none" w:sz="0" w:space="0" w:color="auto"/>
                <w:left w:val="none" w:sz="0" w:space="0" w:color="auto"/>
                <w:bottom w:val="none" w:sz="0" w:space="0" w:color="auto"/>
                <w:right w:val="none" w:sz="0" w:space="0" w:color="auto"/>
              </w:divBdr>
              <w:divsChild>
                <w:div w:id="1846094354">
                  <w:marLeft w:val="0"/>
                  <w:marRight w:val="0"/>
                  <w:marTop w:val="0"/>
                  <w:marBottom w:val="0"/>
                  <w:divBdr>
                    <w:top w:val="none" w:sz="0" w:space="0" w:color="auto"/>
                    <w:left w:val="none" w:sz="0" w:space="0" w:color="auto"/>
                    <w:bottom w:val="none" w:sz="0" w:space="0" w:color="auto"/>
                    <w:right w:val="none" w:sz="0" w:space="0" w:color="auto"/>
                  </w:divBdr>
                </w:div>
              </w:divsChild>
            </w:div>
            <w:div w:id="13311080">
              <w:marLeft w:val="0"/>
              <w:marRight w:val="0"/>
              <w:marTop w:val="0"/>
              <w:marBottom w:val="0"/>
              <w:divBdr>
                <w:top w:val="none" w:sz="0" w:space="0" w:color="auto"/>
                <w:left w:val="none" w:sz="0" w:space="0" w:color="auto"/>
                <w:bottom w:val="none" w:sz="0" w:space="0" w:color="auto"/>
                <w:right w:val="none" w:sz="0" w:space="0" w:color="auto"/>
              </w:divBdr>
              <w:divsChild>
                <w:div w:id="548611461">
                  <w:marLeft w:val="0"/>
                  <w:marRight w:val="0"/>
                  <w:marTop w:val="0"/>
                  <w:marBottom w:val="0"/>
                  <w:divBdr>
                    <w:top w:val="none" w:sz="0" w:space="0" w:color="auto"/>
                    <w:left w:val="none" w:sz="0" w:space="0" w:color="auto"/>
                    <w:bottom w:val="none" w:sz="0" w:space="0" w:color="auto"/>
                    <w:right w:val="none" w:sz="0" w:space="0" w:color="auto"/>
                  </w:divBdr>
                </w:div>
              </w:divsChild>
            </w:div>
            <w:div w:id="771360758">
              <w:marLeft w:val="0"/>
              <w:marRight w:val="0"/>
              <w:marTop w:val="0"/>
              <w:marBottom w:val="0"/>
              <w:divBdr>
                <w:top w:val="none" w:sz="0" w:space="0" w:color="auto"/>
                <w:left w:val="none" w:sz="0" w:space="0" w:color="auto"/>
                <w:bottom w:val="none" w:sz="0" w:space="0" w:color="auto"/>
                <w:right w:val="none" w:sz="0" w:space="0" w:color="auto"/>
              </w:divBdr>
              <w:divsChild>
                <w:div w:id="1680232802">
                  <w:marLeft w:val="0"/>
                  <w:marRight w:val="0"/>
                  <w:marTop w:val="0"/>
                  <w:marBottom w:val="0"/>
                  <w:divBdr>
                    <w:top w:val="none" w:sz="0" w:space="0" w:color="auto"/>
                    <w:left w:val="none" w:sz="0" w:space="0" w:color="auto"/>
                    <w:bottom w:val="none" w:sz="0" w:space="0" w:color="auto"/>
                    <w:right w:val="none" w:sz="0" w:space="0" w:color="auto"/>
                  </w:divBdr>
                </w:div>
              </w:divsChild>
            </w:div>
            <w:div w:id="158427156">
              <w:marLeft w:val="0"/>
              <w:marRight w:val="0"/>
              <w:marTop w:val="0"/>
              <w:marBottom w:val="0"/>
              <w:divBdr>
                <w:top w:val="none" w:sz="0" w:space="0" w:color="auto"/>
                <w:left w:val="none" w:sz="0" w:space="0" w:color="auto"/>
                <w:bottom w:val="none" w:sz="0" w:space="0" w:color="auto"/>
                <w:right w:val="none" w:sz="0" w:space="0" w:color="auto"/>
              </w:divBdr>
              <w:divsChild>
                <w:div w:id="37707766">
                  <w:marLeft w:val="0"/>
                  <w:marRight w:val="0"/>
                  <w:marTop w:val="0"/>
                  <w:marBottom w:val="0"/>
                  <w:divBdr>
                    <w:top w:val="none" w:sz="0" w:space="0" w:color="auto"/>
                    <w:left w:val="none" w:sz="0" w:space="0" w:color="auto"/>
                    <w:bottom w:val="none" w:sz="0" w:space="0" w:color="auto"/>
                    <w:right w:val="none" w:sz="0" w:space="0" w:color="auto"/>
                  </w:divBdr>
                </w:div>
              </w:divsChild>
            </w:div>
            <w:div w:id="264505468">
              <w:marLeft w:val="0"/>
              <w:marRight w:val="0"/>
              <w:marTop w:val="0"/>
              <w:marBottom w:val="0"/>
              <w:divBdr>
                <w:top w:val="none" w:sz="0" w:space="0" w:color="auto"/>
                <w:left w:val="none" w:sz="0" w:space="0" w:color="auto"/>
                <w:bottom w:val="none" w:sz="0" w:space="0" w:color="auto"/>
                <w:right w:val="none" w:sz="0" w:space="0" w:color="auto"/>
              </w:divBdr>
              <w:divsChild>
                <w:div w:id="1733650743">
                  <w:marLeft w:val="0"/>
                  <w:marRight w:val="0"/>
                  <w:marTop w:val="0"/>
                  <w:marBottom w:val="0"/>
                  <w:divBdr>
                    <w:top w:val="none" w:sz="0" w:space="0" w:color="auto"/>
                    <w:left w:val="none" w:sz="0" w:space="0" w:color="auto"/>
                    <w:bottom w:val="none" w:sz="0" w:space="0" w:color="auto"/>
                    <w:right w:val="none" w:sz="0" w:space="0" w:color="auto"/>
                  </w:divBdr>
                </w:div>
              </w:divsChild>
            </w:div>
            <w:div w:id="2006279247">
              <w:marLeft w:val="0"/>
              <w:marRight w:val="0"/>
              <w:marTop w:val="0"/>
              <w:marBottom w:val="0"/>
              <w:divBdr>
                <w:top w:val="none" w:sz="0" w:space="0" w:color="auto"/>
                <w:left w:val="none" w:sz="0" w:space="0" w:color="auto"/>
                <w:bottom w:val="none" w:sz="0" w:space="0" w:color="auto"/>
                <w:right w:val="none" w:sz="0" w:space="0" w:color="auto"/>
              </w:divBdr>
              <w:divsChild>
                <w:div w:id="1097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4880">
      <w:bodyDiv w:val="1"/>
      <w:marLeft w:val="0"/>
      <w:marRight w:val="0"/>
      <w:marTop w:val="0"/>
      <w:marBottom w:val="0"/>
      <w:divBdr>
        <w:top w:val="none" w:sz="0" w:space="0" w:color="auto"/>
        <w:left w:val="none" w:sz="0" w:space="0" w:color="auto"/>
        <w:bottom w:val="none" w:sz="0" w:space="0" w:color="auto"/>
        <w:right w:val="none" w:sz="0" w:space="0" w:color="auto"/>
      </w:divBdr>
      <w:divsChild>
        <w:div w:id="1685746688">
          <w:marLeft w:val="0"/>
          <w:marRight w:val="0"/>
          <w:marTop w:val="0"/>
          <w:marBottom w:val="0"/>
          <w:divBdr>
            <w:top w:val="none" w:sz="0" w:space="0" w:color="auto"/>
            <w:left w:val="none" w:sz="0" w:space="0" w:color="auto"/>
            <w:bottom w:val="none" w:sz="0" w:space="0" w:color="auto"/>
            <w:right w:val="none" w:sz="0" w:space="0" w:color="auto"/>
          </w:divBdr>
          <w:divsChild>
            <w:div w:id="705328179">
              <w:marLeft w:val="0"/>
              <w:marRight w:val="0"/>
              <w:marTop w:val="0"/>
              <w:marBottom w:val="0"/>
              <w:divBdr>
                <w:top w:val="none" w:sz="0" w:space="0" w:color="auto"/>
                <w:left w:val="none" w:sz="0" w:space="0" w:color="auto"/>
                <w:bottom w:val="none" w:sz="0" w:space="0" w:color="auto"/>
                <w:right w:val="none" w:sz="0" w:space="0" w:color="auto"/>
              </w:divBdr>
              <w:divsChild>
                <w:div w:id="8174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37DA88-6684-4039-A870-701BEDC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Kirby</dc:creator>
  <cp:keywords/>
  <dc:description/>
  <cp:lastModifiedBy>Deborah Kennard-Kettle</cp:lastModifiedBy>
  <cp:revision>3</cp:revision>
  <dcterms:created xsi:type="dcterms:W3CDTF">2018-12-18T13:59:00Z</dcterms:created>
  <dcterms:modified xsi:type="dcterms:W3CDTF">2018-12-18T14:02:00Z</dcterms:modified>
</cp:coreProperties>
</file>